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8C0AB">
      <w:pPr>
        <w:jc w:val="center"/>
        <w:rPr>
          <w:rFonts w:hint="eastAsia" w:ascii="黑体" w:hAnsi="黑体" w:eastAsia="黑体"/>
          <w:b/>
          <w:sz w:val="52"/>
          <w:szCs w:val="52"/>
          <w:lang w:val="en-US" w:eastAsia="zh-CN"/>
        </w:rPr>
      </w:pPr>
    </w:p>
    <w:p w14:paraId="07CC4454">
      <w:pPr>
        <w:jc w:val="center"/>
        <w:rPr>
          <w:rFonts w:hint="eastAsia" w:ascii="黑体" w:hAnsi="黑体" w:eastAsia="黑体"/>
          <w:b/>
          <w:sz w:val="52"/>
          <w:szCs w:val="52"/>
          <w:lang w:val="en-US" w:eastAsia="zh-CN"/>
        </w:rPr>
      </w:pPr>
    </w:p>
    <w:p w14:paraId="5B8140C8">
      <w:pPr>
        <w:jc w:val="center"/>
        <w:rPr>
          <w:rFonts w:ascii="黑体" w:hAnsi="黑体" w:eastAsia="黑体"/>
          <w:b/>
          <w:sz w:val="52"/>
          <w:szCs w:val="52"/>
        </w:rPr>
      </w:pPr>
      <w:r>
        <w:rPr>
          <w:rFonts w:hint="eastAsia" w:ascii="黑体" w:hAnsi="黑体" w:eastAsia="黑体"/>
          <w:b/>
          <w:sz w:val="52"/>
          <w:szCs w:val="52"/>
          <w:lang w:val="en-US" w:eastAsia="zh-CN"/>
        </w:rPr>
        <w:t>医院X射线安检机采购项目</w:t>
      </w:r>
      <w:r>
        <w:rPr>
          <w:rFonts w:hint="eastAsia" w:ascii="黑体" w:hAnsi="黑体" w:eastAsia="黑体"/>
          <w:b/>
          <w:sz w:val="52"/>
          <w:szCs w:val="52"/>
        </w:rPr>
        <w:t>需求书</w:t>
      </w:r>
    </w:p>
    <w:p w14:paraId="29F0E281">
      <w:pPr>
        <w:jc w:val="center"/>
        <w:rPr>
          <w:rFonts w:ascii="黑体" w:hAnsi="黑体" w:eastAsia="黑体"/>
          <w:sz w:val="36"/>
          <w:szCs w:val="32"/>
        </w:rPr>
      </w:pPr>
    </w:p>
    <w:p w14:paraId="1623C9EC">
      <w:pPr>
        <w:jc w:val="center"/>
        <w:rPr>
          <w:rFonts w:ascii="黑体" w:hAnsi="黑体" w:eastAsia="黑体"/>
          <w:sz w:val="36"/>
          <w:szCs w:val="32"/>
        </w:rPr>
      </w:pPr>
    </w:p>
    <w:p w14:paraId="1CD7E24B">
      <w:pPr>
        <w:jc w:val="center"/>
        <w:rPr>
          <w:rFonts w:ascii="黑体" w:hAnsi="黑体" w:eastAsia="黑体"/>
          <w:sz w:val="36"/>
          <w:szCs w:val="32"/>
        </w:rPr>
      </w:pPr>
    </w:p>
    <w:p w14:paraId="036420F5">
      <w:pPr>
        <w:jc w:val="center"/>
        <w:rPr>
          <w:rFonts w:ascii="黑体" w:hAnsi="黑体" w:eastAsia="黑体"/>
          <w:sz w:val="36"/>
          <w:szCs w:val="32"/>
        </w:rPr>
      </w:pPr>
    </w:p>
    <w:p w14:paraId="7BC1BA97">
      <w:pPr>
        <w:jc w:val="center"/>
        <w:rPr>
          <w:rFonts w:ascii="黑体" w:hAnsi="黑体" w:eastAsia="黑体"/>
          <w:sz w:val="36"/>
          <w:szCs w:val="32"/>
        </w:rPr>
      </w:pPr>
    </w:p>
    <w:p w14:paraId="1E0D7645">
      <w:pPr>
        <w:jc w:val="center"/>
        <w:rPr>
          <w:rFonts w:ascii="黑体" w:hAnsi="黑体" w:eastAsia="黑体"/>
          <w:sz w:val="36"/>
          <w:szCs w:val="32"/>
        </w:rPr>
      </w:pPr>
    </w:p>
    <w:p w14:paraId="5A49D709">
      <w:pPr>
        <w:jc w:val="center"/>
        <w:rPr>
          <w:rFonts w:ascii="黑体" w:hAnsi="黑体" w:eastAsia="黑体"/>
          <w:sz w:val="36"/>
          <w:szCs w:val="32"/>
        </w:rPr>
      </w:pPr>
    </w:p>
    <w:p w14:paraId="2B6A0309">
      <w:pPr>
        <w:jc w:val="center"/>
        <w:rPr>
          <w:rFonts w:ascii="黑体" w:hAnsi="黑体" w:eastAsia="黑体"/>
          <w:sz w:val="36"/>
          <w:szCs w:val="32"/>
        </w:rPr>
      </w:pPr>
    </w:p>
    <w:p w14:paraId="1F715B63">
      <w:pPr>
        <w:jc w:val="center"/>
        <w:rPr>
          <w:rFonts w:ascii="黑体" w:hAnsi="黑体" w:eastAsia="黑体"/>
          <w:sz w:val="36"/>
          <w:szCs w:val="32"/>
        </w:rPr>
      </w:pPr>
      <w:r>
        <w:rPr>
          <w:rFonts w:hint="eastAsia" w:ascii="黑体" w:hAnsi="黑体" w:eastAsia="黑体"/>
          <w:sz w:val="36"/>
          <w:szCs w:val="32"/>
        </w:rPr>
        <w:t>202</w:t>
      </w:r>
      <w:r>
        <w:rPr>
          <w:rFonts w:hint="eastAsia" w:ascii="黑体" w:hAnsi="黑体" w:eastAsia="黑体"/>
          <w:sz w:val="36"/>
          <w:szCs w:val="32"/>
          <w:lang w:val="en-US" w:eastAsia="zh-CN"/>
        </w:rPr>
        <w:t>6</w:t>
      </w:r>
      <w:r>
        <w:rPr>
          <w:rFonts w:hint="eastAsia" w:ascii="黑体" w:hAnsi="黑体" w:eastAsia="黑体"/>
          <w:sz w:val="36"/>
          <w:szCs w:val="32"/>
        </w:rPr>
        <w:t>年</w:t>
      </w:r>
      <w:r>
        <w:rPr>
          <w:rFonts w:hint="eastAsia" w:ascii="黑体" w:hAnsi="黑体" w:eastAsia="黑体"/>
          <w:sz w:val="36"/>
          <w:szCs w:val="32"/>
          <w:lang w:val="en-US" w:eastAsia="zh-CN"/>
        </w:rPr>
        <w:t>1</w:t>
      </w:r>
      <w:r>
        <w:rPr>
          <w:rFonts w:hint="eastAsia" w:ascii="黑体" w:hAnsi="黑体" w:eastAsia="黑体"/>
          <w:sz w:val="36"/>
          <w:szCs w:val="32"/>
        </w:rPr>
        <w:t>月</w:t>
      </w:r>
    </w:p>
    <w:p w14:paraId="0B44CD88">
      <w:pPr>
        <w:spacing w:line="360" w:lineRule="auto"/>
        <w:rPr>
          <w:rFonts w:ascii="宋体" w:hAnsi="宋体"/>
          <w:sz w:val="24"/>
          <w:szCs w:val="24"/>
        </w:rPr>
      </w:pPr>
    </w:p>
    <w:p w14:paraId="0071998B">
      <w:pPr>
        <w:spacing w:line="360" w:lineRule="auto"/>
        <w:rPr>
          <w:rFonts w:ascii="宋体" w:hAnsi="宋体"/>
          <w:sz w:val="24"/>
          <w:szCs w:val="24"/>
        </w:rPr>
      </w:pPr>
    </w:p>
    <w:p w14:paraId="65AB33FC">
      <w:pPr>
        <w:spacing w:line="360" w:lineRule="auto"/>
        <w:rPr>
          <w:rFonts w:ascii="宋体" w:hAnsi="宋体"/>
          <w:sz w:val="24"/>
          <w:szCs w:val="24"/>
        </w:rPr>
      </w:pPr>
    </w:p>
    <w:p w14:paraId="48E81275">
      <w:pPr>
        <w:spacing w:line="360" w:lineRule="auto"/>
        <w:rPr>
          <w:rFonts w:ascii="宋体" w:hAnsi="宋体"/>
          <w:sz w:val="24"/>
          <w:szCs w:val="24"/>
        </w:rPr>
      </w:pPr>
    </w:p>
    <w:p w14:paraId="075F079D">
      <w:pPr>
        <w:spacing w:line="360" w:lineRule="auto"/>
        <w:rPr>
          <w:rFonts w:ascii="宋体" w:hAnsi="宋体"/>
          <w:sz w:val="24"/>
          <w:szCs w:val="24"/>
        </w:rPr>
      </w:pPr>
    </w:p>
    <w:p w14:paraId="76E74100">
      <w:pPr>
        <w:jc w:val="center"/>
        <w:rPr>
          <w:rFonts w:ascii="宋体" w:hAnsi="宋体"/>
          <w:b/>
          <w:sz w:val="36"/>
          <w:szCs w:val="36"/>
        </w:rPr>
      </w:pPr>
    </w:p>
    <w:p w14:paraId="724A161C">
      <w:pPr>
        <w:jc w:val="center"/>
        <w:rPr>
          <w:rFonts w:ascii="宋体" w:hAnsi="宋体"/>
          <w:b/>
          <w:sz w:val="36"/>
          <w:szCs w:val="36"/>
        </w:rPr>
      </w:pPr>
    </w:p>
    <w:p w14:paraId="061A36F3">
      <w:pPr>
        <w:jc w:val="center"/>
        <w:rPr>
          <w:rFonts w:ascii="宋体" w:hAnsi="宋体"/>
          <w:b/>
          <w:sz w:val="36"/>
          <w:szCs w:val="36"/>
        </w:rPr>
      </w:pPr>
    </w:p>
    <w:p w14:paraId="73BBC5A9">
      <w:pPr>
        <w:jc w:val="center"/>
        <w:rPr>
          <w:rFonts w:ascii="宋体" w:hAnsi="宋体"/>
          <w:b/>
          <w:sz w:val="36"/>
          <w:szCs w:val="36"/>
        </w:rPr>
      </w:pPr>
    </w:p>
    <w:p w14:paraId="6949F477">
      <w:pPr>
        <w:jc w:val="center"/>
        <w:rPr>
          <w:rFonts w:ascii="宋体" w:hAnsi="宋体"/>
          <w:b/>
          <w:sz w:val="36"/>
          <w:szCs w:val="36"/>
        </w:rPr>
      </w:pPr>
    </w:p>
    <w:p w14:paraId="7E3F0DE7">
      <w:pPr>
        <w:jc w:val="center"/>
        <w:rPr>
          <w:rFonts w:ascii="宋体" w:hAnsi="宋体"/>
          <w:b/>
          <w:sz w:val="36"/>
          <w:szCs w:val="36"/>
        </w:rPr>
      </w:pPr>
    </w:p>
    <w:p w14:paraId="386F6F14">
      <w:pPr>
        <w:pStyle w:val="5"/>
        <w:spacing w:before="0" w:after="0" w:line="360" w:lineRule="auto"/>
        <w:rPr>
          <w:rFonts w:hint="eastAsia" w:ascii="宋体" w:hAnsi="宋体"/>
          <w:b w:val="0"/>
          <w:color w:val="000000"/>
          <w:sz w:val="28"/>
          <w:szCs w:val="28"/>
          <w:highlight w:val="none"/>
          <w:lang w:val="zh-CN"/>
        </w:rPr>
      </w:pPr>
      <w:bookmarkStart w:id="0" w:name="_Toc427677700"/>
      <w:bookmarkStart w:id="1" w:name="_Toc451464472"/>
      <w:bookmarkStart w:id="2" w:name="_Toc445910080"/>
      <w:bookmarkStart w:id="3" w:name="_Toc427678102"/>
      <w:bookmarkStart w:id="4" w:name="_Toc451464451"/>
      <w:bookmarkStart w:id="5" w:name="_Ref448911167"/>
      <w:bookmarkStart w:id="6" w:name="_Ref448911163"/>
      <w:bookmarkStart w:id="7" w:name="_Toc433646711"/>
      <w:bookmarkStart w:id="8" w:name="_Toc427678480"/>
      <w:r>
        <w:rPr>
          <w:rFonts w:hint="eastAsia" w:ascii="宋体" w:hAnsi="宋体"/>
          <w:color w:val="000000"/>
          <w:highlight w:val="none"/>
        </w:rPr>
        <w:t xml:space="preserve"> 用户需求</w:t>
      </w:r>
    </w:p>
    <w:p w14:paraId="426CD142">
      <w:pPr>
        <w:pStyle w:val="15"/>
        <w:spacing w:line="360" w:lineRule="auto"/>
        <w:ind w:firstLine="0"/>
        <w:rPr>
          <w:rFonts w:ascii="宋体" w:hAnsi="宋体"/>
          <w:b/>
          <w:bCs/>
          <w:color w:val="000000"/>
          <w:sz w:val="24"/>
          <w:szCs w:val="24"/>
          <w:highlight w:val="none"/>
        </w:rPr>
      </w:pPr>
      <w:r>
        <w:rPr>
          <w:rFonts w:hint="eastAsia" w:ascii="宋体" w:hAnsi="宋体"/>
          <w:b/>
          <w:bCs/>
          <w:color w:val="000000"/>
          <w:sz w:val="24"/>
          <w:szCs w:val="24"/>
          <w:highlight w:val="none"/>
        </w:rPr>
        <w:t>一、有关</w:t>
      </w:r>
      <w:r>
        <w:rPr>
          <w:rFonts w:hint="eastAsia" w:ascii="宋体" w:hAnsi="宋体" w:cs="宋体"/>
          <w:b/>
          <w:bCs/>
          <w:color w:val="000000"/>
          <w:sz w:val="24"/>
          <w:szCs w:val="24"/>
          <w:highlight w:val="none"/>
        </w:rPr>
        <w:t>说明</w:t>
      </w:r>
      <w:r>
        <w:rPr>
          <w:rFonts w:hint="eastAsia" w:ascii="宋体" w:hAnsi="宋体"/>
          <w:b/>
          <w:bCs/>
          <w:color w:val="000000"/>
          <w:sz w:val="24"/>
          <w:szCs w:val="24"/>
          <w:highlight w:val="none"/>
        </w:rPr>
        <w:t>：</w:t>
      </w:r>
    </w:p>
    <w:p w14:paraId="001F6025">
      <w:pPr>
        <w:tabs>
          <w:tab w:val="left" w:pos="567"/>
        </w:tabs>
        <w:snapToGrid w:val="0"/>
        <w:spacing w:line="360" w:lineRule="auto"/>
        <w:ind w:firstLine="480" w:firstLineChars="200"/>
        <w:rPr>
          <w:rFonts w:ascii="宋体" w:hAnsi="宋体"/>
          <w:bCs/>
          <w:color w:val="000000"/>
          <w:sz w:val="24"/>
          <w:szCs w:val="24"/>
          <w:highlight w:val="none"/>
        </w:rPr>
      </w:pPr>
      <w:r>
        <w:rPr>
          <w:rFonts w:hint="eastAsia" w:ascii="宋体" w:hAnsi="宋体"/>
          <w:bCs/>
          <w:color w:val="000000"/>
          <w:sz w:val="24"/>
          <w:szCs w:val="24"/>
          <w:highlight w:val="none"/>
        </w:rPr>
        <w:t>响应供应商须对本项目的采购标的进行整体响应，任何只对本项目采购标的其中一部分内容、数量进行的响应都被视为无效响应。</w:t>
      </w:r>
    </w:p>
    <w:p w14:paraId="49594F20">
      <w:pPr>
        <w:spacing w:line="360" w:lineRule="auto"/>
        <w:rPr>
          <w:rFonts w:ascii="宋体" w:hAnsi="宋体"/>
          <w:b/>
          <w:color w:val="000000"/>
          <w:sz w:val="24"/>
          <w:szCs w:val="24"/>
          <w:highlight w:val="none"/>
        </w:rPr>
      </w:pPr>
      <w:r>
        <w:rPr>
          <w:rFonts w:hint="eastAsia" w:ascii="宋体" w:hAnsi="宋体"/>
          <w:b/>
          <w:color w:val="000000"/>
          <w:sz w:val="24"/>
          <w:szCs w:val="24"/>
          <w:highlight w:val="none"/>
        </w:rPr>
        <w:t>二、采购项目一览表</w:t>
      </w:r>
    </w:p>
    <w:tbl>
      <w:tblPr>
        <w:tblStyle w:val="6"/>
        <w:tblpPr w:leftFromText="180" w:rightFromText="180" w:vertAnchor="text" w:horzAnchor="page" w:tblpX="2470" w:tblpY="966"/>
        <w:tblOverlap w:val="never"/>
        <w:tblW w:w="436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1051"/>
        <w:gridCol w:w="2956"/>
      </w:tblGrid>
      <w:tr w14:paraId="44E0AF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1" w:hRule="atLeast"/>
        </w:trPr>
        <w:tc>
          <w:tcPr>
            <w:tcW w:w="2307" w:type="pct"/>
            <w:shd w:val="clear" w:color="auto" w:fill="EEECE1"/>
            <w:noWrap w:val="0"/>
            <w:vAlign w:val="center"/>
          </w:tcPr>
          <w:p w14:paraId="3B1310BE">
            <w:pPr>
              <w:adjustRightInd w:val="0"/>
              <w:snapToGrid w:val="0"/>
              <w:jc w:val="center"/>
              <w:rPr>
                <w:rFonts w:ascii="宋体" w:hAnsi="宋体"/>
                <w:b/>
                <w:color w:val="000000"/>
                <w:sz w:val="24"/>
                <w:szCs w:val="24"/>
                <w:highlight w:val="none"/>
              </w:rPr>
            </w:pPr>
            <w:r>
              <w:rPr>
                <w:rFonts w:hint="eastAsia" w:ascii="宋体" w:hAnsi="宋体"/>
                <w:b/>
                <w:color w:val="000000"/>
                <w:sz w:val="24"/>
                <w:szCs w:val="24"/>
                <w:highlight w:val="none"/>
              </w:rPr>
              <w:t>采购内容</w:t>
            </w:r>
          </w:p>
        </w:tc>
        <w:tc>
          <w:tcPr>
            <w:tcW w:w="706" w:type="pct"/>
            <w:shd w:val="clear" w:color="auto" w:fill="EEECE1"/>
            <w:noWrap w:val="0"/>
            <w:vAlign w:val="center"/>
          </w:tcPr>
          <w:p w14:paraId="6B0C5F74">
            <w:pPr>
              <w:adjustRightInd w:val="0"/>
              <w:snapToGrid w:val="0"/>
              <w:jc w:val="center"/>
              <w:rPr>
                <w:rFonts w:ascii="宋体" w:hAnsi="宋体"/>
                <w:b/>
                <w:color w:val="000000"/>
                <w:sz w:val="24"/>
                <w:szCs w:val="24"/>
                <w:highlight w:val="none"/>
              </w:rPr>
            </w:pPr>
            <w:r>
              <w:rPr>
                <w:rFonts w:hint="eastAsia" w:ascii="宋体" w:hAnsi="宋体"/>
                <w:b/>
                <w:color w:val="000000"/>
                <w:sz w:val="24"/>
                <w:szCs w:val="24"/>
                <w:highlight w:val="none"/>
              </w:rPr>
              <w:t>数量/单位</w:t>
            </w:r>
          </w:p>
        </w:tc>
        <w:tc>
          <w:tcPr>
            <w:tcW w:w="1986" w:type="pct"/>
            <w:shd w:val="clear" w:color="auto" w:fill="EEECE1"/>
            <w:noWrap w:val="0"/>
            <w:vAlign w:val="center"/>
          </w:tcPr>
          <w:p w14:paraId="11D5E591">
            <w:pPr>
              <w:adjustRightInd w:val="0"/>
              <w:snapToGrid w:val="0"/>
              <w:jc w:val="center"/>
              <w:rPr>
                <w:rFonts w:hint="eastAsia" w:ascii="宋体" w:hAnsi="宋体"/>
                <w:b/>
                <w:color w:val="000000"/>
                <w:sz w:val="24"/>
                <w:szCs w:val="24"/>
                <w:highlight w:val="none"/>
                <w:lang w:val="en-US" w:eastAsia="zh-CN"/>
              </w:rPr>
            </w:pPr>
            <w:r>
              <w:rPr>
                <w:rFonts w:hint="eastAsia" w:ascii="宋体" w:hAnsi="宋体"/>
                <w:b/>
                <w:color w:val="000000"/>
                <w:sz w:val="24"/>
                <w:szCs w:val="24"/>
                <w:highlight w:val="none"/>
                <w:lang w:val="en-US" w:eastAsia="zh-CN"/>
              </w:rPr>
              <w:t>金额</w:t>
            </w:r>
          </w:p>
          <w:p w14:paraId="3C070555">
            <w:pPr>
              <w:adjustRightInd w:val="0"/>
              <w:snapToGrid w:val="0"/>
              <w:jc w:val="center"/>
              <w:rPr>
                <w:rFonts w:hint="default" w:ascii="宋体" w:hAnsi="宋体"/>
                <w:b/>
                <w:color w:val="000000"/>
                <w:sz w:val="24"/>
                <w:szCs w:val="24"/>
                <w:highlight w:val="none"/>
                <w:lang w:val="en-US" w:eastAsia="zh-CN"/>
              </w:rPr>
            </w:pPr>
            <w:r>
              <w:rPr>
                <w:rFonts w:hint="eastAsia" w:ascii="宋体" w:hAnsi="宋体"/>
                <w:b/>
                <w:color w:val="000000"/>
                <w:sz w:val="24"/>
                <w:szCs w:val="24"/>
                <w:highlight w:val="none"/>
              </w:rPr>
              <w:t>（人民币</w:t>
            </w:r>
            <w:r>
              <w:rPr>
                <w:rFonts w:hint="eastAsia" w:ascii="宋体" w:hAnsi="宋体"/>
                <w:b/>
                <w:color w:val="000000"/>
                <w:sz w:val="24"/>
                <w:szCs w:val="24"/>
                <w:highlight w:val="none"/>
                <w:lang w:val="en-US" w:eastAsia="zh-CN"/>
              </w:rPr>
              <w:t>万</w:t>
            </w:r>
            <w:r>
              <w:rPr>
                <w:rFonts w:hint="eastAsia" w:ascii="宋体" w:hAnsi="宋体"/>
                <w:b/>
                <w:color w:val="000000"/>
                <w:sz w:val="24"/>
                <w:szCs w:val="24"/>
                <w:highlight w:val="none"/>
              </w:rPr>
              <w:t>元）</w:t>
            </w:r>
          </w:p>
        </w:tc>
      </w:tr>
      <w:tr w14:paraId="5AE40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2307" w:type="pct"/>
            <w:tcBorders>
              <w:bottom w:val="single" w:color="auto" w:sz="12" w:space="0"/>
            </w:tcBorders>
            <w:noWrap w:val="0"/>
            <w:vAlign w:val="center"/>
          </w:tcPr>
          <w:p w14:paraId="23D22A2B">
            <w:pPr>
              <w:adjustRightInd w:val="0"/>
              <w:snapToGrid w:val="0"/>
              <w:jc w:val="center"/>
              <w:rPr>
                <w:rFonts w:hint="default" w:ascii="宋体" w:hAnsi="宋体" w:eastAsia="宋体"/>
                <w:bCs/>
                <w:color w:val="000000"/>
                <w:sz w:val="24"/>
                <w:szCs w:val="24"/>
                <w:highlight w:val="none"/>
                <w:lang w:val="en-US" w:eastAsia="zh-CN"/>
              </w:rPr>
            </w:pPr>
            <w:r>
              <w:rPr>
                <w:rFonts w:hint="eastAsia" w:ascii="宋体" w:hAnsi="宋体"/>
                <w:bCs/>
                <w:color w:val="000000"/>
                <w:sz w:val="24"/>
                <w:szCs w:val="24"/>
                <w:highlight w:val="none"/>
                <w:lang w:val="en-US" w:eastAsia="zh-CN"/>
              </w:rPr>
              <w:t>X射线安检机</w:t>
            </w:r>
          </w:p>
        </w:tc>
        <w:tc>
          <w:tcPr>
            <w:tcW w:w="706" w:type="pct"/>
            <w:tcBorders>
              <w:bottom w:val="single" w:color="auto" w:sz="12" w:space="0"/>
            </w:tcBorders>
            <w:noWrap w:val="0"/>
            <w:vAlign w:val="center"/>
          </w:tcPr>
          <w:p w14:paraId="2EC91467">
            <w:pPr>
              <w:adjustRightInd w:val="0"/>
              <w:snapToGrid w:val="0"/>
              <w:jc w:val="center"/>
              <w:rPr>
                <w:rFonts w:hint="eastAsia" w:ascii="宋体" w:hAnsi="宋体" w:eastAsia="宋体"/>
                <w:bCs/>
                <w:color w:val="000000"/>
                <w:sz w:val="24"/>
                <w:szCs w:val="24"/>
                <w:highlight w:val="none"/>
                <w:lang w:eastAsia="zh-CN"/>
              </w:rPr>
            </w:pPr>
            <w:r>
              <w:rPr>
                <w:rFonts w:hint="eastAsia" w:ascii="宋体" w:hAnsi="宋体"/>
                <w:bCs/>
                <w:color w:val="000000"/>
                <w:sz w:val="24"/>
                <w:szCs w:val="24"/>
                <w:highlight w:val="none"/>
              </w:rPr>
              <w:t>1</w:t>
            </w:r>
            <w:r>
              <w:rPr>
                <w:rFonts w:hint="eastAsia" w:ascii="宋体" w:hAnsi="宋体"/>
                <w:bCs/>
                <w:color w:val="000000"/>
                <w:sz w:val="24"/>
                <w:szCs w:val="24"/>
                <w:highlight w:val="none"/>
                <w:lang w:val="en-US" w:eastAsia="zh-CN"/>
              </w:rPr>
              <w:t>台</w:t>
            </w:r>
          </w:p>
        </w:tc>
        <w:tc>
          <w:tcPr>
            <w:tcW w:w="1986" w:type="pct"/>
            <w:tcBorders>
              <w:bottom w:val="single" w:color="auto" w:sz="12" w:space="0"/>
            </w:tcBorders>
            <w:noWrap w:val="0"/>
            <w:vAlign w:val="center"/>
          </w:tcPr>
          <w:p w14:paraId="511D3EB9">
            <w:pPr>
              <w:pStyle w:val="16"/>
              <w:keepNext w:val="0"/>
              <w:snapToGrid w:val="0"/>
              <w:spacing w:before="0" w:after="0" w:line="240" w:lineRule="auto"/>
              <w:rPr>
                <w:rFonts w:hint="default" w:ascii="宋体" w:hAnsi="宋体" w:eastAsia="宋体"/>
                <w:color w:val="000000"/>
                <w:szCs w:val="24"/>
                <w:highlight w:val="none"/>
                <w:lang w:val="en-US" w:eastAsia="zh-CN"/>
              </w:rPr>
            </w:pPr>
            <w:r>
              <w:rPr>
                <w:rFonts w:hint="eastAsia"/>
                <w:lang w:val="en-US" w:eastAsia="zh-CN"/>
              </w:rPr>
              <w:t>7</w:t>
            </w:r>
          </w:p>
        </w:tc>
      </w:tr>
    </w:tbl>
    <w:p w14:paraId="70C3A4CB">
      <w:pPr>
        <w:spacing w:line="360" w:lineRule="auto"/>
        <w:ind w:firstLine="482" w:firstLineChars="200"/>
        <w:rPr>
          <w:rFonts w:hint="eastAsia" w:ascii="宋体" w:hAnsi="宋体"/>
          <w:b/>
          <w:color w:val="000000"/>
          <w:sz w:val="24"/>
          <w:szCs w:val="24"/>
          <w:highlight w:val="none"/>
          <w:lang w:eastAsia="zh-TW"/>
        </w:rPr>
      </w:pPr>
    </w:p>
    <w:p w14:paraId="5762AE3E">
      <w:pPr>
        <w:spacing w:line="360" w:lineRule="auto"/>
        <w:ind w:firstLine="482" w:firstLineChars="200"/>
        <w:rPr>
          <w:rFonts w:hint="eastAsia" w:ascii="宋体" w:hAnsi="宋体"/>
          <w:b/>
          <w:color w:val="000000"/>
          <w:sz w:val="24"/>
          <w:szCs w:val="24"/>
          <w:highlight w:val="none"/>
          <w:lang w:eastAsia="zh-TW"/>
        </w:rPr>
      </w:pPr>
    </w:p>
    <w:p w14:paraId="63EDFEC8">
      <w:pPr>
        <w:spacing w:line="360" w:lineRule="auto"/>
        <w:rPr>
          <w:rFonts w:hint="eastAsia" w:ascii="宋体" w:hAnsi="宋体"/>
          <w:b/>
          <w:color w:val="000000"/>
          <w:sz w:val="24"/>
          <w:szCs w:val="24"/>
          <w:highlight w:val="none"/>
          <w:lang w:eastAsia="zh-TW"/>
        </w:rPr>
      </w:pPr>
    </w:p>
    <w:p w14:paraId="48D24ED3">
      <w:pPr>
        <w:spacing w:line="360" w:lineRule="auto"/>
        <w:ind w:firstLine="482" w:firstLineChars="200"/>
        <w:rPr>
          <w:rFonts w:hint="eastAsia" w:ascii="宋体" w:hAnsi="宋体"/>
          <w:bCs/>
          <w:color w:val="000000"/>
          <w:sz w:val="24"/>
          <w:szCs w:val="24"/>
          <w:highlight w:val="none"/>
        </w:rPr>
      </w:pPr>
      <w:r>
        <w:rPr>
          <w:rFonts w:hint="eastAsia" w:ascii="宋体" w:hAnsi="宋体"/>
          <w:b/>
          <w:color w:val="000000"/>
          <w:sz w:val="24"/>
          <w:szCs w:val="24"/>
          <w:highlight w:val="none"/>
          <w:lang w:eastAsia="zh-TW"/>
        </w:rPr>
        <w:t>（一）</w:t>
      </w:r>
      <w:r>
        <w:rPr>
          <w:rFonts w:hint="eastAsia" w:ascii="宋体" w:hAnsi="宋体"/>
          <w:b/>
          <w:color w:val="000000"/>
          <w:sz w:val="24"/>
          <w:szCs w:val="24"/>
          <w:highlight w:val="none"/>
        </w:rPr>
        <w:t>项目概况</w:t>
      </w:r>
    </w:p>
    <w:p w14:paraId="26CD22AB">
      <w:pPr>
        <w:spacing w:line="360" w:lineRule="auto"/>
        <w:rPr>
          <w:rFonts w:ascii="宋体" w:hAnsi="宋体"/>
          <w:bCs/>
          <w:color w:val="000000"/>
          <w:sz w:val="24"/>
          <w:szCs w:val="24"/>
          <w:highlight w:val="none"/>
        </w:rPr>
      </w:pPr>
      <w:r>
        <w:rPr>
          <w:rFonts w:hint="eastAsia" w:ascii="宋体" w:hAnsi="宋体"/>
          <w:bCs/>
          <w:color w:val="000000"/>
          <w:sz w:val="24"/>
          <w:szCs w:val="24"/>
          <w:highlight w:val="none"/>
        </w:rPr>
        <w:t>本项目</w:t>
      </w:r>
      <w:r>
        <w:rPr>
          <w:rFonts w:hint="eastAsia" w:ascii="宋体" w:hAnsi="宋体"/>
          <w:bCs/>
          <w:color w:val="000000"/>
          <w:sz w:val="24"/>
          <w:szCs w:val="24"/>
          <w:highlight w:val="none"/>
          <w:lang w:val="en-US" w:eastAsia="zh-CN"/>
        </w:rPr>
        <w:t>为采购1台X射线安检机设备</w:t>
      </w:r>
      <w:r>
        <w:rPr>
          <w:rFonts w:hint="eastAsia" w:ascii="宋体" w:hAnsi="宋体"/>
          <w:bCs/>
          <w:color w:val="000000"/>
          <w:sz w:val="24"/>
          <w:szCs w:val="24"/>
          <w:highlight w:val="none"/>
        </w:rPr>
        <w:t>，</w:t>
      </w:r>
      <w:r>
        <w:rPr>
          <w:rFonts w:hint="eastAsia" w:ascii="宋体" w:hAnsi="宋体"/>
          <w:bCs/>
          <w:color w:val="000000"/>
          <w:sz w:val="24"/>
          <w:szCs w:val="24"/>
          <w:highlight w:val="none"/>
          <w:lang w:val="en-US" w:eastAsia="zh-CN"/>
        </w:rPr>
        <w:t>用于对门诊外来人员的行李箱、背（挎）包、手提袋等物品进行安全检查</w:t>
      </w:r>
      <w:r>
        <w:rPr>
          <w:rFonts w:hint="eastAsia" w:ascii="宋体" w:hAnsi="宋体"/>
          <w:bCs/>
          <w:color w:val="000000"/>
          <w:sz w:val="24"/>
          <w:szCs w:val="24"/>
          <w:highlight w:val="none"/>
        </w:rPr>
        <w:t>，保障</w:t>
      </w:r>
      <w:r>
        <w:rPr>
          <w:rFonts w:hint="eastAsia" w:ascii="宋体" w:hAnsi="宋体"/>
          <w:bCs/>
          <w:color w:val="000000"/>
          <w:sz w:val="24"/>
          <w:szCs w:val="24"/>
          <w:highlight w:val="none"/>
          <w:lang w:val="en-US" w:eastAsia="zh-CN"/>
        </w:rPr>
        <w:t>医院门诊安检工作高效落实</w:t>
      </w:r>
      <w:r>
        <w:rPr>
          <w:rFonts w:hint="eastAsia" w:ascii="宋体" w:hAnsi="宋体"/>
          <w:bCs/>
          <w:color w:val="000000"/>
          <w:sz w:val="24"/>
          <w:szCs w:val="24"/>
          <w:highlight w:val="none"/>
        </w:rPr>
        <w:t>。</w:t>
      </w:r>
    </w:p>
    <w:p w14:paraId="2484902C">
      <w:pPr>
        <w:tabs>
          <w:tab w:val="left" w:pos="7740"/>
        </w:tabs>
        <w:spacing w:line="360" w:lineRule="auto"/>
        <w:ind w:firstLine="482" w:firstLineChars="200"/>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eastAsia="zh-TW"/>
        </w:rPr>
        <w:t>（</w:t>
      </w:r>
      <w:r>
        <w:rPr>
          <w:rFonts w:hint="eastAsia" w:ascii="宋体" w:hAnsi="宋体" w:eastAsia="宋体" w:cs="宋体"/>
          <w:b/>
          <w:color w:val="000000"/>
          <w:sz w:val="24"/>
          <w:szCs w:val="24"/>
          <w:highlight w:val="none"/>
          <w:lang w:val="en-US" w:eastAsia="zh-CN"/>
        </w:rPr>
        <w:t>二</w:t>
      </w:r>
      <w:r>
        <w:rPr>
          <w:rFonts w:hint="eastAsia" w:ascii="宋体" w:hAnsi="宋体" w:eastAsia="宋体" w:cs="宋体"/>
          <w:b/>
          <w:color w:val="000000"/>
          <w:sz w:val="24"/>
          <w:szCs w:val="24"/>
          <w:highlight w:val="none"/>
          <w:lang w:eastAsia="zh-TW"/>
        </w:rPr>
        <w:t>）</w:t>
      </w:r>
      <w:r>
        <w:rPr>
          <w:rFonts w:hint="eastAsia" w:ascii="宋体" w:hAnsi="宋体" w:eastAsia="宋体" w:cs="宋体"/>
          <w:b/>
          <w:color w:val="000000"/>
          <w:sz w:val="24"/>
          <w:szCs w:val="24"/>
          <w:highlight w:val="none"/>
          <w:lang w:val="zh-CN"/>
        </w:rPr>
        <w:t>供应商</w:t>
      </w:r>
      <w:r>
        <w:rPr>
          <w:rFonts w:hint="eastAsia" w:ascii="宋体" w:hAnsi="宋体" w:eastAsia="宋体" w:cs="宋体"/>
          <w:b/>
          <w:color w:val="000000"/>
          <w:sz w:val="24"/>
          <w:szCs w:val="24"/>
          <w:highlight w:val="none"/>
        </w:rPr>
        <w:t>资格：</w:t>
      </w:r>
      <w:bookmarkStart w:id="9" w:name="_GoBack"/>
      <w:bookmarkEnd w:id="9"/>
    </w:p>
    <w:p w14:paraId="0F455F34">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1.供应商应具备《政府采购法》第二十二条规定的条件，提供下列材料：</w:t>
      </w:r>
    </w:p>
    <w:p w14:paraId="2D93C97C">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具有独立承担民事责任的能力：提供在中华人民共和国境内注册的法人或其他组织的营业执照或事业单位法人证书或社会团体法人登记证书复印件，如供应商为自然人的提供自然人身份证明复印件；如国家另有规定的，则从其规定。</w:t>
      </w:r>
    </w:p>
    <w:p w14:paraId="57DC8957">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有依法缴纳税收和社会保障资金的良好记录：提供《响应供应商资格声明函》或响应截止时间前一年内任意一个月的依法缴纳税收证明材料（如依法免税，则须提供相应文件证明其依法免税）；提供《响应供应商资格声明函》或响应截止时间前一年内任意一个月的依法缴纳社会保险凭据（如依法不需要缴纳社保，则须提供相应文件证明其依法不需要缴纳）。</w:t>
      </w:r>
    </w:p>
    <w:p w14:paraId="65B2F363">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3）具有良好的商业信誉和健全的财务会计制度：提供《响应供应商资格声明函》或202</w:t>
      </w:r>
      <w:r>
        <w:rPr>
          <w:rFonts w:hint="eastAsia" w:ascii="宋体" w:hAnsi="宋体" w:cs="宋体"/>
          <w:color w:val="000000"/>
          <w:sz w:val="24"/>
          <w:szCs w:val="24"/>
          <w:highlight w:val="none"/>
          <w:lang w:val="en-US" w:eastAsia="zh-CN"/>
        </w:rPr>
        <w:t>2</w:t>
      </w:r>
      <w:r>
        <w:rPr>
          <w:rFonts w:hint="eastAsia" w:ascii="宋体" w:hAnsi="宋体" w:eastAsia="宋体" w:cs="宋体"/>
          <w:color w:val="000000"/>
          <w:sz w:val="24"/>
          <w:szCs w:val="24"/>
          <w:highlight w:val="none"/>
        </w:rPr>
        <w:t>年至202</w:t>
      </w:r>
      <w:r>
        <w:rPr>
          <w:rFonts w:hint="eastAsia" w:ascii="宋体" w:hAnsi="宋体" w:cs="宋体"/>
          <w:color w:val="000000"/>
          <w:sz w:val="24"/>
          <w:szCs w:val="24"/>
          <w:highlight w:val="none"/>
          <w:lang w:val="en-US" w:eastAsia="zh-CN"/>
        </w:rPr>
        <w:t>5</w:t>
      </w:r>
      <w:r>
        <w:rPr>
          <w:rFonts w:hint="eastAsia" w:ascii="宋体" w:hAnsi="宋体" w:eastAsia="宋体" w:cs="宋体"/>
          <w:color w:val="000000"/>
          <w:sz w:val="24"/>
          <w:szCs w:val="24"/>
          <w:highlight w:val="none"/>
        </w:rPr>
        <w:t>年度内任意一年的年度财务报表(新成立公司提供成立至今的月或季度财务报表复印件)或银行出具的资信证明。</w:t>
      </w:r>
    </w:p>
    <w:p w14:paraId="4720A92A">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4）履行合同所必须的设备和专业技术能力：提供《响应供应商资格声明函》。</w:t>
      </w:r>
    </w:p>
    <w:p w14:paraId="02A3B929">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5）参加采购活动前3年内，在经营活动中没有重大违法记录：提供《响应供应商资格声明函》</w:t>
      </w:r>
    </w:p>
    <w:p w14:paraId="7B27C0CC">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2.供应商未被列入“信用中国”网站(</w:t>
      </w:r>
      <w:r>
        <w:rPr>
          <w:rFonts w:hint="eastAsia" w:ascii="宋体" w:hAnsi="宋体" w:eastAsia="宋体" w:cs="宋体"/>
          <w:color w:val="000000"/>
          <w:sz w:val="24"/>
          <w:szCs w:val="24"/>
          <w:highlight w:val="none"/>
        </w:rPr>
        <w:fldChar w:fldCharType="begin"/>
      </w:r>
      <w:r>
        <w:rPr>
          <w:rFonts w:hint="eastAsia" w:ascii="宋体" w:hAnsi="宋体" w:eastAsia="宋体" w:cs="宋体"/>
          <w:color w:val="000000"/>
          <w:sz w:val="24"/>
          <w:szCs w:val="24"/>
          <w:highlight w:val="none"/>
        </w:rPr>
        <w:instrText xml:space="preserve"> HYPERLINK "http://www.creditchina.gov.cn" </w:instrText>
      </w:r>
      <w:r>
        <w:rPr>
          <w:rFonts w:hint="eastAsia" w:ascii="宋体" w:hAnsi="宋体" w:eastAsia="宋体" w:cs="宋体"/>
          <w:color w:val="000000"/>
          <w:sz w:val="24"/>
          <w:szCs w:val="24"/>
          <w:highlight w:val="none"/>
        </w:rPr>
        <w:fldChar w:fldCharType="separate"/>
      </w:r>
      <w:r>
        <w:rPr>
          <w:rStyle w:val="9"/>
          <w:rFonts w:hint="eastAsia" w:ascii="宋体" w:hAnsi="宋体" w:eastAsia="宋体" w:cs="宋体"/>
          <w:color w:val="000000"/>
          <w:sz w:val="24"/>
          <w:szCs w:val="24"/>
          <w:highlight w:val="none"/>
        </w:rPr>
        <w:t>www.creditchina.gov.cn</w:t>
      </w:r>
      <w:r>
        <w:rPr>
          <w:rFonts w:hint="eastAsia" w:ascii="宋体" w:hAnsi="宋体" w:eastAsia="宋体" w:cs="宋体"/>
          <w:color w:val="000000"/>
          <w:sz w:val="24"/>
          <w:szCs w:val="24"/>
          <w:highlight w:val="none"/>
        </w:rPr>
        <w:fldChar w:fldCharType="end"/>
      </w:r>
      <w:r>
        <w:rPr>
          <w:rFonts w:hint="eastAsia" w:ascii="宋体" w:hAnsi="宋体" w:eastAsia="宋体" w:cs="宋体"/>
          <w:color w:val="000000"/>
          <w:sz w:val="24"/>
          <w:szCs w:val="24"/>
          <w:highlight w:val="none"/>
        </w:rPr>
        <w:t>)“记录失信被执行人或重大税收违法失信主体或政府采购严重违法失信行为”记录名单；不处于中国政府采购网(www.ccgp.gov.cn)“政府采购严重违法失信行为信息记录”中的禁止参加政府采购活动期间。 （以采购代理机构于投标（响应）截止时间当天在“信用中国”网站（www.creditchina.gov.cn）及中国政府采购网（http://www.ccgp.gov.cn/）查询结果为准，如相关失信记录已失效，供应商需提供相关证明资料）。</w:t>
      </w:r>
    </w:p>
    <w:p w14:paraId="3295C55A">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3.单位负责人为同一人或者存在直接控股、管理关系的不同供应商，不得参加同一包号响应或者未划分包号的同一项目响应。（提供《响应供应商资格声明函》）</w:t>
      </w:r>
    </w:p>
    <w:p w14:paraId="3E002A01">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4.为采购项目提供整体设计、规范编制或者项目管理、监理、检测等服务的供应商，不得再参加该采购项目的采购活动。（提供《响应供应商资格声明函》）</w:t>
      </w:r>
    </w:p>
    <w:p w14:paraId="463EC0E1">
      <w:pPr>
        <w:autoSpaceDE w:val="0"/>
        <w:autoSpaceDN w:val="0"/>
        <w:spacing w:line="360" w:lineRule="auto"/>
        <w:ind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5.本项目不接受联合体响应。</w:t>
      </w:r>
    </w:p>
    <w:p w14:paraId="7A447EBA">
      <w:pPr>
        <w:autoSpaceDE w:val="0"/>
        <w:autoSpaceDN w:val="0"/>
        <w:spacing w:line="360" w:lineRule="auto"/>
        <w:ind w:firstLine="480" w:firstLineChars="200"/>
        <w:rPr>
          <w:rFonts w:hint="eastAsia" w:ascii="宋体" w:hAnsi="宋体" w:eastAsia="宋体" w:cs="宋体"/>
          <w:b/>
          <w:color w:val="000000"/>
          <w:sz w:val="24"/>
          <w:szCs w:val="24"/>
          <w:highlight w:val="none"/>
        </w:rPr>
      </w:pPr>
      <w:r>
        <w:rPr>
          <w:rFonts w:hint="eastAsia" w:ascii="宋体" w:hAnsi="宋体" w:eastAsia="宋体" w:cs="宋体"/>
          <w:color w:val="000000"/>
          <w:sz w:val="24"/>
          <w:szCs w:val="24"/>
          <w:highlight w:val="none"/>
        </w:rPr>
        <w:t>6.供应商不得将本项目转包、分包、外包：提供《响应供应商资格声明函》。</w:t>
      </w:r>
    </w:p>
    <w:p w14:paraId="4839B113">
      <w:pPr>
        <w:spacing w:line="360" w:lineRule="auto"/>
        <w:ind w:firstLine="482" w:firstLineChars="200"/>
        <w:rPr>
          <w:rFonts w:hint="eastAsia" w:ascii="宋体" w:hAnsi="宋体"/>
          <w:b/>
          <w:color w:val="000000"/>
          <w:sz w:val="24"/>
          <w:szCs w:val="24"/>
          <w:highlight w:val="none"/>
        </w:rPr>
      </w:pPr>
    </w:p>
    <w:p w14:paraId="26750606">
      <w:pPr>
        <w:numPr>
          <w:ilvl w:val="0"/>
          <w:numId w:val="2"/>
        </w:numPr>
        <w:spacing w:line="360" w:lineRule="auto"/>
        <w:ind w:left="-482" w:leftChars="0" w:firstLine="482" w:firstLineChars="0"/>
        <w:rPr>
          <w:rFonts w:hint="eastAsia" w:ascii="宋体" w:hAnsi="宋体"/>
          <w:b/>
          <w:color w:val="000000"/>
          <w:sz w:val="24"/>
          <w:szCs w:val="24"/>
          <w:highlight w:val="none"/>
        </w:rPr>
      </w:pPr>
      <w:r>
        <w:rPr>
          <w:rFonts w:hint="eastAsia" w:ascii="宋体" w:hAnsi="宋体"/>
          <w:b/>
          <w:color w:val="000000"/>
          <w:sz w:val="24"/>
          <w:szCs w:val="24"/>
          <w:highlight w:val="none"/>
          <w:lang w:val="en-US" w:eastAsia="zh-CN"/>
        </w:rPr>
        <w:t>设备需求</w:t>
      </w:r>
    </w:p>
    <w:tbl>
      <w:tblPr>
        <w:tblStyle w:val="7"/>
        <w:tblpPr w:leftFromText="180" w:rightFromText="180" w:vertAnchor="text" w:horzAnchor="page" w:tblpX="1377" w:tblpY="426"/>
        <w:tblOverlap w:val="never"/>
        <w:tblW w:w="9018" w:type="dxa"/>
        <w:tblInd w:w="0" w:type="dxa"/>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Layout w:type="fixed"/>
        <w:tblCellMar>
          <w:top w:w="0" w:type="dxa"/>
          <w:left w:w="108" w:type="dxa"/>
          <w:bottom w:w="0" w:type="dxa"/>
          <w:right w:w="108" w:type="dxa"/>
        </w:tblCellMar>
      </w:tblPr>
      <w:tblGrid>
        <w:gridCol w:w="919"/>
        <w:gridCol w:w="1920"/>
        <w:gridCol w:w="6179"/>
      </w:tblGrid>
      <w:tr w14:paraId="218B2214">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644" w:hRule="atLeast"/>
        </w:trPr>
        <w:tc>
          <w:tcPr>
            <w:tcW w:w="919" w:type="dxa"/>
            <w:shd w:val="clear" w:color="auto" w:fill="D8D8D8" w:themeFill="background1" w:themeFillShade="D9"/>
          </w:tcPr>
          <w:p w14:paraId="13513C1D">
            <w:pPr>
              <w:rPr>
                <w:rFonts w:hint="eastAsia" w:ascii="思源黑体" w:hAnsi="思源黑体" w:eastAsia="思源黑体" w:cs="思源黑体"/>
                <w:sz w:val="24"/>
                <w:szCs w:val="14"/>
                <w:lang w:val="en-US" w:eastAsia="zh-CN"/>
              </w:rPr>
            </w:pPr>
            <w:r>
              <w:rPr>
                <w:rFonts w:hint="eastAsia" w:ascii="思源黑体" w:hAnsi="思源黑体" w:eastAsia="思源黑体" w:cs="思源黑体"/>
                <w:sz w:val="24"/>
                <w:szCs w:val="14"/>
                <w:lang w:val="en-US" w:eastAsia="zh-CN"/>
              </w:rPr>
              <w:t>1</w:t>
            </w:r>
          </w:p>
        </w:tc>
        <w:tc>
          <w:tcPr>
            <w:tcW w:w="8099" w:type="dxa"/>
            <w:gridSpan w:val="2"/>
            <w:shd w:val="clear" w:color="auto" w:fill="D8D8D8" w:themeFill="background1" w:themeFillShade="D9"/>
          </w:tcPr>
          <w:p w14:paraId="689654CA">
            <w:pPr>
              <w:rPr>
                <w:color w:val="00B0F0"/>
                <w:sz w:val="36"/>
                <w:szCs w:val="36"/>
              </w:rPr>
            </w:pPr>
            <w:r>
              <w:rPr>
                <w:rFonts w:hint="eastAsia" w:ascii="思源黑体" w:hAnsi="思源黑体" w:eastAsia="思源黑体" w:cs="思源黑体"/>
                <w:sz w:val="24"/>
                <w:szCs w:val="14"/>
              </w:rPr>
              <w:t>专业智能</w:t>
            </w:r>
          </w:p>
        </w:tc>
      </w:tr>
      <w:tr w14:paraId="4DA0EA62">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1381" w:hRule="atLeast"/>
        </w:trPr>
        <w:tc>
          <w:tcPr>
            <w:tcW w:w="919" w:type="dxa"/>
            <w:vAlign w:val="center"/>
          </w:tcPr>
          <w:p w14:paraId="237F5937">
            <w:pPr>
              <w:pStyle w:val="20"/>
              <w:spacing w:line="240" w:lineRule="auto"/>
              <w:rPr>
                <w:rFonts w:hint="eastAsia" w:ascii="思源黑体" w:hAnsi="思源黑体" w:eastAsia="思源黑体" w:cs="思源黑体"/>
                <w:sz w:val="24"/>
                <w:szCs w:val="24"/>
              </w:rPr>
            </w:pPr>
          </w:p>
        </w:tc>
        <w:tc>
          <w:tcPr>
            <w:tcW w:w="1920" w:type="dxa"/>
            <w:vAlign w:val="center"/>
          </w:tcPr>
          <w:p w14:paraId="15C039DF">
            <w:pPr>
              <w:pStyle w:val="20"/>
              <w:spacing w:line="240" w:lineRule="auto"/>
            </w:pPr>
            <w:r>
              <w:rPr>
                <w:rFonts w:hint="eastAsia" w:ascii="思源黑体" w:hAnsi="思源黑体" w:eastAsia="思源黑体" w:cs="思源黑体"/>
                <w:sz w:val="24"/>
                <w:szCs w:val="24"/>
              </w:rPr>
              <w:t>预览</w:t>
            </w:r>
          </w:p>
        </w:tc>
        <w:tc>
          <w:tcPr>
            <w:tcW w:w="6179" w:type="dxa"/>
            <w:vAlign w:val="center"/>
          </w:tcPr>
          <w:p w14:paraId="0CC8ACC1">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支持实时显示X射线包裹图像画面、摄像头画面，支持实时对安检物品智能分析</w:t>
            </w:r>
          </w:p>
        </w:tc>
      </w:tr>
      <w:tr w14:paraId="62577353">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1381" w:hRule="atLeast"/>
        </w:trPr>
        <w:tc>
          <w:tcPr>
            <w:tcW w:w="919" w:type="dxa"/>
            <w:vAlign w:val="center"/>
          </w:tcPr>
          <w:p w14:paraId="1EE357BA">
            <w:pPr>
              <w:pStyle w:val="20"/>
              <w:spacing w:line="240" w:lineRule="auto"/>
              <w:rPr>
                <w:rFonts w:hint="eastAsia" w:ascii="思源黑体" w:hAnsi="思源黑体" w:eastAsia="思源黑体" w:cs="思源黑体"/>
                <w:sz w:val="24"/>
                <w:szCs w:val="24"/>
              </w:rPr>
            </w:pPr>
          </w:p>
        </w:tc>
        <w:tc>
          <w:tcPr>
            <w:tcW w:w="1920" w:type="dxa"/>
            <w:vAlign w:val="center"/>
          </w:tcPr>
          <w:p w14:paraId="22BB1FA1">
            <w:pPr>
              <w:pStyle w:val="20"/>
              <w:spacing w:line="240" w:lineRule="auto"/>
            </w:pPr>
            <w:r>
              <w:rPr>
                <w:rFonts w:hint="eastAsia" w:ascii="思源黑体" w:hAnsi="思源黑体" w:eastAsia="思源黑体" w:cs="思源黑体"/>
                <w:sz w:val="24"/>
                <w:szCs w:val="24"/>
              </w:rPr>
              <w:t>物体识别</w:t>
            </w:r>
          </w:p>
        </w:tc>
        <w:tc>
          <w:tcPr>
            <w:tcW w:w="6179" w:type="dxa"/>
            <w:vAlign w:val="center"/>
          </w:tcPr>
          <w:p w14:paraId="34139EDD">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对通过X射线扫描的包裹进行物品智能识别，智能框跟随物品移动</w:t>
            </w:r>
          </w:p>
        </w:tc>
      </w:tr>
      <w:tr w14:paraId="1A8443D9">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2624" w:hRule="atLeast"/>
        </w:trPr>
        <w:tc>
          <w:tcPr>
            <w:tcW w:w="919" w:type="dxa"/>
            <w:vAlign w:val="center"/>
          </w:tcPr>
          <w:p w14:paraId="7BF9FC93">
            <w:pPr>
              <w:pStyle w:val="20"/>
              <w:spacing w:line="240" w:lineRule="auto"/>
              <w:rPr>
                <w:rFonts w:hint="eastAsia" w:ascii="思源黑体" w:hAnsi="思源黑体" w:eastAsia="思源黑体" w:cs="思源黑体"/>
                <w:sz w:val="24"/>
                <w:szCs w:val="24"/>
                <w:lang w:val="en-US" w:eastAsia="zh-CN"/>
              </w:rPr>
            </w:pPr>
          </w:p>
        </w:tc>
        <w:tc>
          <w:tcPr>
            <w:tcW w:w="1920" w:type="dxa"/>
            <w:vAlign w:val="center"/>
          </w:tcPr>
          <w:p w14:paraId="69F1ECC3">
            <w:pPr>
              <w:pStyle w:val="20"/>
              <w:spacing w:line="240" w:lineRule="auto"/>
            </w:pPr>
            <w:r>
              <w:rPr>
                <w:rFonts w:hint="eastAsia" w:ascii="思源黑体" w:hAnsi="思源黑体" w:eastAsia="思源黑体" w:cs="思源黑体"/>
                <w:sz w:val="24"/>
                <w:szCs w:val="24"/>
                <w:lang w:val="en-US" w:eastAsia="zh-CN"/>
              </w:rPr>
              <w:t>AI智能</w:t>
            </w:r>
            <w:r>
              <w:rPr>
                <w:rFonts w:hint="eastAsia" w:ascii="思源黑体" w:hAnsi="思源黑体" w:eastAsia="思源黑体" w:cs="思源黑体"/>
                <w:sz w:val="24"/>
                <w:szCs w:val="24"/>
              </w:rPr>
              <w:t>识别种类</w:t>
            </w:r>
          </w:p>
        </w:tc>
        <w:tc>
          <w:tcPr>
            <w:tcW w:w="6179" w:type="dxa"/>
            <w:vAlign w:val="center"/>
          </w:tcPr>
          <w:p w14:paraId="599C418A">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支持多种物品识别，如枪、烟花爆竹、压力罐、刀、斧头、剪刀、打火机油、指甲油、液体、玻璃瓶、保温杯、塑料瓶、打火机、指虎、警棍、手铐、工具、粉末、电子产品、手机、充电宝、笔记本、伞等违禁物品</w:t>
            </w:r>
          </w:p>
        </w:tc>
      </w:tr>
      <w:tr w14:paraId="1AAD5FFB">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0CB44101">
            <w:pPr>
              <w:pStyle w:val="20"/>
              <w:spacing w:line="240" w:lineRule="auto"/>
              <w:rPr>
                <w:rFonts w:hint="eastAsia" w:ascii="思源黑体" w:hAnsi="思源黑体" w:eastAsia="思源黑体" w:cs="思源黑体"/>
                <w:sz w:val="24"/>
                <w:szCs w:val="24"/>
              </w:rPr>
            </w:pPr>
          </w:p>
        </w:tc>
        <w:tc>
          <w:tcPr>
            <w:tcW w:w="1920" w:type="dxa"/>
            <w:vAlign w:val="center"/>
          </w:tcPr>
          <w:p w14:paraId="11C5F9A1">
            <w:pPr>
              <w:pStyle w:val="20"/>
              <w:spacing w:line="240" w:lineRule="auto"/>
            </w:pPr>
            <w:r>
              <w:rPr>
                <w:rFonts w:hint="eastAsia" w:ascii="思源黑体" w:hAnsi="思源黑体" w:eastAsia="思源黑体" w:cs="思源黑体"/>
                <w:sz w:val="24"/>
                <w:szCs w:val="24"/>
              </w:rPr>
              <w:t>危险等级</w:t>
            </w:r>
          </w:p>
        </w:tc>
        <w:tc>
          <w:tcPr>
            <w:tcW w:w="6179" w:type="dxa"/>
            <w:vAlign w:val="center"/>
          </w:tcPr>
          <w:p w14:paraId="0E541681">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高危，警告，安全，可根据物品种类自定义危险等级</w:t>
            </w:r>
          </w:p>
        </w:tc>
      </w:tr>
      <w:tr w14:paraId="4F66B037">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1381" w:hRule="atLeast"/>
        </w:trPr>
        <w:tc>
          <w:tcPr>
            <w:tcW w:w="919" w:type="dxa"/>
            <w:vAlign w:val="center"/>
          </w:tcPr>
          <w:p w14:paraId="7F2F6E5F">
            <w:pPr>
              <w:pStyle w:val="20"/>
              <w:spacing w:line="240" w:lineRule="auto"/>
              <w:rPr>
                <w:rFonts w:hint="eastAsia" w:ascii="思源黑体" w:hAnsi="思源黑体" w:eastAsia="思源黑体" w:cs="思源黑体"/>
                <w:sz w:val="24"/>
                <w:szCs w:val="24"/>
              </w:rPr>
            </w:pPr>
          </w:p>
        </w:tc>
        <w:tc>
          <w:tcPr>
            <w:tcW w:w="1920" w:type="dxa"/>
            <w:vAlign w:val="center"/>
          </w:tcPr>
          <w:p w14:paraId="0FD1104C">
            <w:pPr>
              <w:pStyle w:val="20"/>
              <w:spacing w:line="240" w:lineRule="auto"/>
            </w:pPr>
            <w:r>
              <w:rPr>
                <w:rFonts w:hint="eastAsia" w:ascii="思源黑体" w:hAnsi="思源黑体" w:eastAsia="思源黑体" w:cs="思源黑体"/>
                <w:sz w:val="24"/>
                <w:szCs w:val="24"/>
              </w:rPr>
              <w:t>事件联动</w:t>
            </w:r>
          </w:p>
        </w:tc>
        <w:tc>
          <w:tcPr>
            <w:tcW w:w="6179" w:type="dxa"/>
            <w:vAlign w:val="center"/>
          </w:tcPr>
          <w:p w14:paraId="344211C7">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根据危险等级，触发声光报警（报警IO输出）、语音提示、平台报警、屏幕提示等</w:t>
            </w:r>
          </w:p>
        </w:tc>
      </w:tr>
      <w:tr w14:paraId="1072348C">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1381" w:hRule="atLeast"/>
        </w:trPr>
        <w:tc>
          <w:tcPr>
            <w:tcW w:w="919" w:type="dxa"/>
            <w:vAlign w:val="center"/>
          </w:tcPr>
          <w:p w14:paraId="577C84C7">
            <w:pPr>
              <w:pStyle w:val="20"/>
              <w:spacing w:line="240" w:lineRule="auto"/>
              <w:rPr>
                <w:rFonts w:hint="eastAsia" w:ascii="思源黑体" w:hAnsi="思源黑体" w:eastAsia="思源黑体" w:cs="思源黑体"/>
                <w:sz w:val="24"/>
                <w:szCs w:val="24"/>
              </w:rPr>
            </w:pPr>
          </w:p>
        </w:tc>
        <w:tc>
          <w:tcPr>
            <w:tcW w:w="1920" w:type="dxa"/>
            <w:vAlign w:val="center"/>
          </w:tcPr>
          <w:p w14:paraId="3698A161">
            <w:pPr>
              <w:pStyle w:val="20"/>
              <w:spacing w:line="240" w:lineRule="auto"/>
            </w:pPr>
            <w:r>
              <w:rPr>
                <w:rFonts w:hint="eastAsia" w:ascii="思源黑体" w:hAnsi="思源黑体" w:eastAsia="思源黑体" w:cs="思源黑体"/>
                <w:sz w:val="24"/>
                <w:szCs w:val="24"/>
              </w:rPr>
              <w:t>图片存储</w:t>
            </w:r>
          </w:p>
        </w:tc>
        <w:tc>
          <w:tcPr>
            <w:tcW w:w="6179" w:type="dxa"/>
            <w:vAlign w:val="center"/>
          </w:tcPr>
          <w:p w14:paraId="1CC35FB8">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支持不少于100万张图片存储，图片内包含危险等级和物品种类识别信息，可查看原图及智能图</w:t>
            </w:r>
          </w:p>
        </w:tc>
      </w:tr>
      <w:tr w14:paraId="65E995BC">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1381" w:hRule="atLeast"/>
        </w:trPr>
        <w:tc>
          <w:tcPr>
            <w:tcW w:w="919" w:type="dxa"/>
            <w:vAlign w:val="center"/>
          </w:tcPr>
          <w:p w14:paraId="306D80B1">
            <w:pPr>
              <w:pStyle w:val="20"/>
              <w:spacing w:line="240" w:lineRule="auto"/>
              <w:rPr>
                <w:rFonts w:hint="eastAsia" w:ascii="思源黑体" w:hAnsi="思源黑体" w:eastAsia="思源黑体" w:cs="思源黑体"/>
                <w:sz w:val="24"/>
                <w:szCs w:val="24"/>
              </w:rPr>
            </w:pPr>
          </w:p>
        </w:tc>
        <w:tc>
          <w:tcPr>
            <w:tcW w:w="1920" w:type="dxa"/>
            <w:vAlign w:val="center"/>
          </w:tcPr>
          <w:p w14:paraId="5794CBD7">
            <w:pPr>
              <w:pStyle w:val="20"/>
              <w:spacing w:line="240" w:lineRule="auto"/>
            </w:pPr>
            <w:r>
              <w:rPr>
                <w:rFonts w:hint="eastAsia" w:ascii="思源黑体" w:hAnsi="思源黑体" w:eastAsia="思源黑体" w:cs="思源黑体"/>
                <w:sz w:val="24"/>
                <w:szCs w:val="24"/>
              </w:rPr>
              <w:t>行包查询</w:t>
            </w:r>
          </w:p>
        </w:tc>
        <w:tc>
          <w:tcPr>
            <w:tcW w:w="6179" w:type="dxa"/>
            <w:vAlign w:val="center"/>
          </w:tcPr>
          <w:p w14:paraId="5808506A">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支持根据时间、物品类型等查询、回放并导出安检机包裹图片、关联的视频录像</w:t>
            </w:r>
          </w:p>
        </w:tc>
      </w:tr>
      <w:tr w14:paraId="3685ED02">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34B6457C">
            <w:pPr>
              <w:pStyle w:val="20"/>
              <w:spacing w:line="240" w:lineRule="auto"/>
              <w:rPr>
                <w:rFonts w:hint="eastAsia" w:ascii="思源黑体" w:hAnsi="思源黑体" w:eastAsia="思源黑体" w:cs="思源黑体"/>
                <w:sz w:val="24"/>
                <w:szCs w:val="24"/>
              </w:rPr>
            </w:pPr>
          </w:p>
        </w:tc>
        <w:tc>
          <w:tcPr>
            <w:tcW w:w="1920" w:type="dxa"/>
            <w:vAlign w:val="center"/>
          </w:tcPr>
          <w:p w14:paraId="4EB1B59F">
            <w:pPr>
              <w:pStyle w:val="20"/>
              <w:spacing w:line="240" w:lineRule="auto"/>
            </w:pPr>
            <w:r>
              <w:rPr>
                <w:rFonts w:hint="eastAsia" w:ascii="思源黑体" w:hAnsi="思源黑体" w:eastAsia="思源黑体" w:cs="思源黑体"/>
                <w:sz w:val="24"/>
                <w:szCs w:val="24"/>
              </w:rPr>
              <w:t>报表查询</w:t>
            </w:r>
          </w:p>
        </w:tc>
        <w:tc>
          <w:tcPr>
            <w:tcW w:w="6179" w:type="dxa"/>
            <w:vAlign w:val="center"/>
          </w:tcPr>
          <w:p w14:paraId="43878208">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支持根据时间、物品类型等生成数据报表并导出</w:t>
            </w:r>
          </w:p>
        </w:tc>
      </w:tr>
      <w:tr w14:paraId="0A12E869">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644" w:hRule="atLeast"/>
        </w:trPr>
        <w:tc>
          <w:tcPr>
            <w:tcW w:w="919" w:type="dxa"/>
            <w:shd w:val="clear" w:color="auto" w:fill="D8D8D8" w:themeFill="background1" w:themeFillShade="D9"/>
          </w:tcPr>
          <w:p w14:paraId="76734C41">
            <w:pPr>
              <w:rPr>
                <w:rFonts w:hint="eastAsia" w:ascii="思源黑体" w:hAnsi="思源黑体" w:eastAsia="思源黑体" w:cs="思源黑体"/>
                <w:sz w:val="24"/>
                <w:szCs w:val="14"/>
                <w:lang w:val="en-US" w:eastAsia="zh-CN"/>
              </w:rPr>
            </w:pPr>
            <w:r>
              <w:rPr>
                <w:rFonts w:hint="eastAsia" w:ascii="思源黑体" w:hAnsi="思源黑体" w:eastAsia="思源黑体" w:cs="思源黑体"/>
                <w:sz w:val="24"/>
                <w:szCs w:val="14"/>
                <w:lang w:val="en-US" w:eastAsia="zh-CN"/>
              </w:rPr>
              <w:t>2</w:t>
            </w:r>
          </w:p>
        </w:tc>
        <w:tc>
          <w:tcPr>
            <w:tcW w:w="8099" w:type="dxa"/>
            <w:gridSpan w:val="2"/>
            <w:shd w:val="clear" w:color="auto" w:fill="D8D8D8" w:themeFill="background1" w:themeFillShade="D9"/>
          </w:tcPr>
          <w:p w14:paraId="5E5D67B2">
            <w:pPr>
              <w:rPr>
                <w:color w:val="00B0F0"/>
                <w:sz w:val="36"/>
                <w:szCs w:val="36"/>
              </w:rPr>
            </w:pPr>
            <w:r>
              <w:rPr>
                <w:rFonts w:hint="eastAsia" w:ascii="思源黑体" w:hAnsi="思源黑体" w:eastAsia="思源黑体" w:cs="思源黑体"/>
                <w:sz w:val="24"/>
                <w:szCs w:val="14"/>
              </w:rPr>
              <w:t>功能参数</w:t>
            </w:r>
          </w:p>
        </w:tc>
      </w:tr>
      <w:tr w14:paraId="1478F459">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1381" w:hRule="atLeast"/>
        </w:trPr>
        <w:tc>
          <w:tcPr>
            <w:tcW w:w="919" w:type="dxa"/>
            <w:vAlign w:val="center"/>
          </w:tcPr>
          <w:p w14:paraId="2953FDB2">
            <w:pPr>
              <w:pStyle w:val="20"/>
              <w:spacing w:line="240" w:lineRule="auto"/>
              <w:rPr>
                <w:rFonts w:hint="eastAsia" w:ascii="思源黑体" w:hAnsi="思源黑体" w:eastAsia="思源黑体" w:cs="思源黑体"/>
                <w:sz w:val="24"/>
                <w:szCs w:val="24"/>
              </w:rPr>
            </w:pPr>
          </w:p>
        </w:tc>
        <w:tc>
          <w:tcPr>
            <w:tcW w:w="1920" w:type="dxa"/>
            <w:vAlign w:val="center"/>
          </w:tcPr>
          <w:p w14:paraId="66A8F15E">
            <w:pPr>
              <w:pStyle w:val="20"/>
              <w:spacing w:line="240" w:lineRule="auto"/>
            </w:pPr>
            <w:r>
              <w:rPr>
                <w:rFonts w:hint="eastAsia" w:ascii="思源黑体" w:hAnsi="思源黑体" w:eastAsia="思源黑体" w:cs="思源黑体"/>
                <w:sz w:val="24"/>
                <w:szCs w:val="24"/>
              </w:rPr>
              <w:t>开机自检</w:t>
            </w:r>
          </w:p>
        </w:tc>
        <w:tc>
          <w:tcPr>
            <w:tcW w:w="6179" w:type="dxa"/>
            <w:vAlign w:val="center"/>
          </w:tcPr>
          <w:p w14:paraId="6B4929B1">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具有故障自检功能，出现故障时自动判断，及时给出提示故障代码信息</w:t>
            </w:r>
          </w:p>
        </w:tc>
      </w:tr>
      <w:tr w14:paraId="49EAA118">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3245" w:hRule="atLeast"/>
        </w:trPr>
        <w:tc>
          <w:tcPr>
            <w:tcW w:w="919" w:type="dxa"/>
            <w:vAlign w:val="center"/>
          </w:tcPr>
          <w:p w14:paraId="56C836D9">
            <w:pPr>
              <w:pStyle w:val="20"/>
              <w:spacing w:line="240" w:lineRule="auto"/>
              <w:rPr>
                <w:rFonts w:hint="eastAsia" w:ascii="思源黑体" w:hAnsi="思源黑体" w:eastAsia="思源黑体" w:cs="思源黑体"/>
                <w:sz w:val="24"/>
                <w:szCs w:val="24"/>
              </w:rPr>
            </w:pPr>
          </w:p>
        </w:tc>
        <w:tc>
          <w:tcPr>
            <w:tcW w:w="1920" w:type="dxa"/>
            <w:vAlign w:val="center"/>
          </w:tcPr>
          <w:p w14:paraId="325DBD60">
            <w:pPr>
              <w:pStyle w:val="20"/>
              <w:spacing w:line="240" w:lineRule="auto"/>
            </w:pPr>
            <w:r>
              <w:rPr>
                <w:rFonts w:hint="eastAsia" w:ascii="思源黑体" w:hAnsi="思源黑体" w:eastAsia="思源黑体" w:cs="思源黑体"/>
                <w:sz w:val="24"/>
                <w:szCs w:val="24"/>
              </w:rPr>
              <w:t>图像处理</w:t>
            </w:r>
          </w:p>
        </w:tc>
        <w:tc>
          <w:tcPr>
            <w:tcW w:w="6179" w:type="dxa"/>
            <w:vAlign w:val="center"/>
          </w:tcPr>
          <w:p w14:paraId="0251F013">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具有彩色/黑白、局部增强、超级增强、边缘增强、图像扫描、有机物剔除、无机物剔除、混合物剔除、图像反色、高能穿透加强、低能穿透加强、加亮、减暗、可疑有机物增强Z7/Z8/Z9、难穿透报警、智能叠加、垂直翻转、伪彩色等功能</w:t>
            </w:r>
          </w:p>
        </w:tc>
      </w:tr>
      <w:tr w14:paraId="2685B8DE">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10815B8A">
            <w:pPr>
              <w:pStyle w:val="20"/>
              <w:spacing w:line="240" w:lineRule="auto"/>
              <w:rPr>
                <w:rFonts w:hint="eastAsia" w:ascii="思源黑体" w:hAnsi="思源黑体" w:eastAsia="思源黑体" w:cs="思源黑体"/>
                <w:sz w:val="24"/>
                <w:szCs w:val="24"/>
              </w:rPr>
            </w:pPr>
          </w:p>
        </w:tc>
        <w:tc>
          <w:tcPr>
            <w:tcW w:w="1920" w:type="dxa"/>
            <w:vAlign w:val="center"/>
          </w:tcPr>
          <w:p w14:paraId="5AE0D268">
            <w:pPr>
              <w:pStyle w:val="20"/>
              <w:spacing w:line="240" w:lineRule="auto"/>
            </w:pPr>
            <w:r>
              <w:rPr>
                <w:rFonts w:hint="eastAsia" w:ascii="思源黑体" w:hAnsi="思源黑体" w:eastAsia="思源黑体" w:cs="思源黑体"/>
                <w:sz w:val="24"/>
                <w:szCs w:val="24"/>
              </w:rPr>
              <w:t>图像回放</w:t>
            </w:r>
          </w:p>
        </w:tc>
        <w:tc>
          <w:tcPr>
            <w:tcW w:w="6179" w:type="dxa"/>
            <w:vAlign w:val="center"/>
          </w:tcPr>
          <w:p w14:paraId="0C05461D">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可实现30幅已检图像回放</w:t>
            </w:r>
          </w:p>
        </w:tc>
      </w:tr>
      <w:tr w14:paraId="685F0835">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1381" w:hRule="atLeast"/>
        </w:trPr>
        <w:tc>
          <w:tcPr>
            <w:tcW w:w="919" w:type="dxa"/>
            <w:vAlign w:val="center"/>
          </w:tcPr>
          <w:p w14:paraId="59408E2D">
            <w:pPr>
              <w:pStyle w:val="20"/>
              <w:spacing w:line="240" w:lineRule="auto"/>
              <w:rPr>
                <w:rFonts w:hint="eastAsia" w:ascii="思源黑体" w:hAnsi="思源黑体" w:eastAsia="思源黑体" w:cs="思源黑体"/>
                <w:sz w:val="24"/>
                <w:szCs w:val="24"/>
              </w:rPr>
            </w:pPr>
          </w:p>
        </w:tc>
        <w:tc>
          <w:tcPr>
            <w:tcW w:w="1920" w:type="dxa"/>
            <w:vAlign w:val="center"/>
          </w:tcPr>
          <w:p w14:paraId="7533D798">
            <w:pPr>
              <w:pStyle w:val="20"/>
              <w:spacing w:line="240" w:lineRule="auto"/>
            </w:pPr>
            <w:r>
              <w:rPr>
                <w:rFonts w:hint="eastAsia" w:ascii="思源黑体" w:hAnsi="思源黑体" w:eastAsia="思源黑体" w:cs="思源黑体"/>
                <w:sz w:val="24"/>
                <w:szCs w:val="24"/>
              </w:rPr>
              <w:t>图像放大</w:t>
            </w:r>
          </w:p>
        </w:tc>
        <w:tc>
          <w:tcPr>
            <w:tcW w:w="6179" w:type="dxa"/>
            <w:vAlign w:val="center"/>
          </w:tcPr>
          <w:p w14:paraId="4D6F1399">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支持X射线图像1～64倍画面整体放大，可通过鼠标或键盘拖动中心焦点位置</w:t>
            </w:r>
          </w:p>
        </w:tc>
      </w:tr>
      <w:tr w14:paraId="4AD81F51">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0A763DE6">
            <w:pPr>
              <w:pStyle w:val="20"/>
              <w:spacing w:line="240" w:lineRule="auto"/>
              <w:rPr>
                <w:rFonts w:hint="eastAsia" w:ascii="思源黑体" w:hAnsi="思源黑体" w:eastAsia="思源黑体" w:cs="思源黑体"/>
                <w:sz w:val="24"/>
                <w:szCs w:val="24"/>
              </w:rPr>
            </w:pPr>
          </w:p>
        </w:tc>
        <w:tc>
          <w:tcPr>
            <w:tcW w:w="1920" w:type="dxa"/>
            <w:vAlign w:val="center"/>
          </w:tcPr>
          <w:p w14:paraId="3765F2A8">
            <w:pPr>
              <w:pStyle w:val="20"/>
              <w:spacing w:line="240" w:lineRule="auto"/>
            </w:pPr>
            <w:r>
              <w:rPr>
                <w:rFonts w:hint="eastAsia" w:ascii="思源黑体" w:hAnsi="思源黑体" w:eastAsia="思源黑体" w:cs="思源黑体"/>
                <w:sz w:val="24"/>
                <w:szCs w:val="24"/>
              </w:rPr>
              <w:t>设备诊断</w:t>
            </w:r>
          </w:p>
        </w:tc>
        <w:tc>
          <w:tcPr>
            <w:tcW w:w="6179" w:type="dxa"/>
            <w:vAlign w:val="center"/>
          </w:tcPr>
          <w:p w14:paraId="5649FB49">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可通过诊断界面对设备关键性元器件进行诊断</w:t>
            </w:r>
          </w:p>
        </w:tc>
      </w:tr>
      <w:tr w14:paraId="37056854">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2003" w:hRule="atLeast"/>
        </w:trPr>
        <w:tc>
          <w:tcPr>
            <w:tcW w:w="919" w:type="dxa"/>
            <w:vAlign w:val="center"/>
          </w:tcPr>
          <w:p w14:paraId="74ADF331">
            <w:pPr>
              <w:pStyle w:val="20"/>
              <w:spacing w:line="240" w:lineRule="auto"/>
              <w:rPr>
                <w:rFonts w:hint="eastAsia" w:ascii="思源黑体" w:hAnsi="思源黑体" w:eastAsia="思源黑体" w:cs="思源黑体"/>
                <w:sz w:val="24"/>
                <w:szCs w:val="24"/>
              </w:rPr>
            </w:pPr>
          </w:p>
        </w:tc>
        <w:tc>
          <w:tcPr>
            <w:tcW w:w="1920" w:type="dxa"/>
            <w:vAlign w:val="center"/>
          </w:tcPr>
          <w:p w14:paraId="22BBC25D">
            <w:pPr>
              <w:pStyle w:val="20"/>
              <w:spacing w:line="240" w:lineRule="auto"/>
            </w:pPr>
            <w:r>
              <w:rPr>
                <w:rFonts w:hint="eastAsia" w:ascii="思源黑体" w:hAnsi="思源黑体" w:eastAsia="思源黑体" w:cs="思源黑体"/>
                <w:sz w:val="24"/>
                <w:szCs w:val="24"/>
              </w:rPr>
              <w:t>安检设置</w:t>
            </w:r>
          </w:p>
        </w:tc>
        <w:tc>
          <w:tcPr>
            <w:tcW w:w="6179" w:type="dxa"/>
            <w:vAlign w:val="center"/>
          </w:tcPr>
          <w:p w14:paraId="7C12105E">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可对可编程键、成像显示（垂直镜像、最大放大倍数）、扫描方式设置（强扫、节能）、行李计数器、人包关联等功能进行设置</w:t>
            </w:r>
          </w:p>
        </w:tc>
      </w:tr>
      <w:tr w14:paraId="63C7EF86">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644" w:hRule="atLeast"/>
        </w:trPr>
        <w:tc>
          <w:tcPr>
            <w:tcW w:w="919" w:type="dxa"/>
            <w:shd w:val="clear" w:color="auto" w:fill="D8D8D8" w:themeFill="background1" w:themeFillShade="D9"/>
          </w:tcPr>
          <w:p w14:paraId="63A0AF89">
            <w:pPr>
              <w:rPr>
                <w:rFonts w:hint="eastAsia" w:ascii="思源黑体" w:hAnsi="思源黑体" w:eastAsia="思源黑体" w:cs="思源黑体"/>
                <w:sz w:val="24"/>
                <w:szCs w:val="14"/>
                <w:lang w:val="en-US" w:eastAsia="zh-CN"/>
              </w:rPr>
            </w:pPr>
            <w:r>
              <w:rPr>
                <w:rFonts w:hint="eastAsia" w:ascii="思源黑体" w:hAnsi="思源黑体" w:eastAsia="思源黑体" w:cs="思源黑体"/>
                <w:sz w:val="24"/>
                <w:szCs w:val="14"/>
                <w:lang w:val="en-US" w:eastAsia="zh-CN"/>
              </w:rPr>
              <w:t>3</w:t>
            </w:r>
          </w:p>
        </w:tc>
        <w:tc>
          <w:tcPr>
            <w:tcW w:w="8099" w:type="dxa"/>
            <w:gridSpan w:val="2"/>
            <w:shd w:val="clear" w:color="auto" w:fill="D8D8D8" w:themeFill="background1" w:themeFillShade="D9"/>
          </w:tcPr>
          <w:p w14:paraId="7D9C97E8">
            <w:pPr>
              <w:rPr>
                <w:color w:val="00B0F0"/>
                <w:sz w:val="36"/>
                <w:szCs w:val="36"/>
              </w:rPr>
            </w:pPr>
            <w:r>
              <w:rPr>
                <w:rFonts w:hint="eastAsia" w:ascii="思源黑体" w:hAnsi="思源黑体" w:eastAsia="思源黑体" w:cs="思源黑体"/>
                <w:sz w:val="24"/>
                <w:szCs w:val="14"/>
              </w:rPr>
              <w:t>基本参数</w:t>
            </w:r>
          </w:p>
        </w:tc>
      </w:tr>
      <w:tr w14:paraId="54A00124">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2ADCBDA9">
            <w:pPr>
              <w:pStyle w:val="20"/>
              <w:spacing w:line="240" w:lineRule="auto"/>
              <w:rPr>
                <w:rFonts w:hint="eastAsia" w:ascii="思源黑体" w:hAnsi="思源黑体" w:eastAsia="思源黑体" w:cs="思源黑体"/>
                <w:sz w:val="24"/>
                <w:szCs w:val="24"/>
              </w:rPr>
            </w:pPr>
          </w:p>
        </w:tc>
        <w:tc>
          <w:tcPr>
            <w:tcW w:w="1920" w:type="dxa"/>
            <w:vAlign w:val="center"/>
          </w:tcPr>
          <w:p w14:paraId="0B46C466">
            <w:pPr>
              <w:pStyle w:val="20"/>
              <w:spacing w:line="240" w:lineRule="auto"/>
            </w:pPr>
            <w:r>
              <w:rPr>
                <w:rFonts w:hint="eastAsia" w:ascii="思源黑体" w:hAnsi="思源黑体" w:eastAsia="思源黑体" w:cs="思源黑体"/>
                <w:sz w:val="24"/>
                <w:szCs w:val="24"/>
              </w:rPr>
              <w:t>通道尺寸</w:t>
            </w:r>
          </w:p>
        </w:tc>
        <w:tc>
          <w:tcPr>
            <w:tcW w:w="6179" w:type="dxa"/>
            <w:vAlign w:val="center"/>
          </w:tcPr>
          <w:p w14:paraId="3A6CF319">
            <w:pPr>
              <w:pStyle w:val="21"/>
              <w:framePr w:hSpace="0" w:wrap="auto" w:vAnchor="margin" w:hAnchor="text" w:yAlign="inline"/>
              <w:spacing w:before="62" w:after="62"/>
              <w:ind w:right="90"/>
              <w:jc w:val="left"/>
              <w:rPr>
                <w:rFonts w:hint="eastAsia" w:eastAsia="思源黑体"/>
                <w:lang w:val="en-US" w:eastAsia="zh-CN"/>
              </w:rPr>
            </w:pPr>
            <w:r>
              <w:rPr>
                <w:rFonts w:hint="eastAsia" w:ascii="思源黑体" w:hAnsi="思源黑体" w:eastAsia="思源黑体" w:cs="思源黑体"/>
                <w:color w:val="EE822F" w:themeColor="accent2"/>
                <w:sz w:val="24"/>
                <w:szCs w:val="24"/>
                <w:lang w:val="en-US" w:eastAsia="zh-CN"/>
                <w14:textFill>
                  <w14:solidFill>
                    <w14:schemeClr w14:val="accent2"/>
                  </w14:solidFill>
                </w14:textFill>
              </w:rPr>
              <w:t>±</w:t>
            </w:r>
            <w:r>
              <w:rPr>
                <w:rFonts w:hint="eastAsia" w:ascii="思源黑体" w:hAnsi="思源黑体" w:eastAsia="思源黑体" w:cs="思源黑体"/>
                <w:sz w:val="24"/>
                <w:szCs w:val="24"/>
              </w:rPr>
              <w:t>650mm×500mm（宽×高）</w:t>
            </w:r>
          </w:p>
        </w:tc>
      </w:tr>
      <w:tr w14:paraId="6652D14D">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1258" w:hRule="atLeast"/>
        </w:trPr>
        <w:tc>
          <w:tcPr>
            <w:tcW w:w="919" w:type="dxa"/>
            <w:vAlign w:val="center"/>
          </w:tcPr>
          <w:p w14:paraId="40FB9780">
            <w:pPr>
              <w:pStyle w:val="20"/>
              <w:spacing w:line="240" w:lineRule="auto"/>
              <w:rPr>
                <w:rFonts w:hint="eastAsia" w:ascii="思源黑体" w:hAnsi="思源黑体" w:eastAsia="思源黑体" w:cs="思源黑体"/>
                <w:sz w:val="24"/>
                <w:szCs w:val="24"/>
              </w:rPr>
            </w:pPr>
          </w:p>
        </w:tc>
        <w:tc>
          <w:tcPr>
            <w:tcW w:w="1920" w:type="dxa"/>
            <w:vAlign w:val="center"/>
          </w:tcPr>
          <w:p w14:paraId="6E11271C">
            <w:pPr>
              <w:pStyle w:val="20"/>
              <w:spacing w:line="240" w:lineRule="auto"/>
            </w:pPr>
            <w:r>
              <w:rPr>
                <w:rFonts w:hint="eastAsia" w:ascii="思源黑体" w:hAnsi="思源黑体" w:eastAsia="思源黑体" w:cs="思源黑体"/>
                <w:sz w:val="24"/>
                <w:szCs w:val="24"/>
              </w:rPr>
              <w:t>射线源阳极管电压</w:t>
            </w:r>
          </w:p>
        </w:tc>
        <w:tc>
          <w:tcPr>
            <w:tcW w:w="6179" w:type="dxa"/>
            <w:vAlign w:val="center"/>
          </w:tcPr>
          <w:p w14:paraId="7B3E2DD1">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160kV</w:t>
            </w:r>
          </w:p>
        </w:tc>
      </w:tr>
      <w:tr w14:paraId="371F7918">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0E54AD9E">
            <w:pPr>
              <w:pStyle w:val="20"/>
              <w:spacing w:line="240" w:lineRule="auto"/>
              <w:rPr>
                <w:rFonts w:hint="eastAsia" w:ascii="思源黑体" w:hAnsi="思源黑体" w:eastAsia="思源黑体" w:cs="思源黑体"/>
                <w:sz w:val="24"/>
                <w:szCs w:val="24"/>
              </w:rPr>
            </w:pPr>
          </w:p>
        </w:tc>
        <w:tc>
          <w:tcPr>
            <w:tcW w:w="1920" w:type="dxa"/>
            <w:vAlign w:val="center"/>
          </w:tcPr>
          <w:p w14:paraId="0217429C">
            <w:pPr>
              <w:pStyle w:val="20"/>
              <w:spacing w:line="240" w:lineRule="auto"/>
            </w:pPr>
            <w:r>
              <w:rPr>
                <w:rFonts w:hint="eastAsia" w:ascii="思源黑体" w:hAnsi="思源黑体" w:eastAsia="思源黑体" w:cs="思源黑体"/>
                <w:sz w:val="24"/>
                <w:szCs w:val="24"/>
              </w:rPr>
              <w:t>射线源冷却方式</w:t>
            </w:r>
          </w:p>
        </w:tc>
        <w:tc>
          <w:tcPr>
            <w:tcW w:w="6179" w:type="dxa"/>
            <w:vAlign w:val="center"/>
          </w:tcPr>
          <w:p w14:paraId="4BFEF08D">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密封油浴加强制风冷</w:t>
            </w:r>
          </w:p>
        </w:tc>
      </w:tr>
      <w:tr w14:paraId="0A8CC1E7">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6EC4FB8F">
            <w:pPr>
              <w:pStyle w:val="20"/>
              <w:spacing w:line="240" w:lineRule="auto"/>
              <w:rPr>
                <w:rFonts w:hint="eastAsia" w:ascii="思源黑体" w:hAnsi="思源黑体" w:eastAsia="思源黑体" w:cs="思源黑体"/>
                <w:sz w:val="24"/>
                <w:szCs w:val="24"/>
              </w:rPr>
            </w:pPr>
          </w:p>
        </w:tc>
        <w:tc>
          <w:tcPr>
            <w:tcW w:w="1920" w:type="dxa"/>
            <w:vAlign w:val="center"/>
          </w:tcPr>
          <w:p w14:paraId="40FA8FDC">
            <w:pPr>
              <w:pStyle w:val="20"/>
              <w:spacing w:line="240" w:lineRule="auto"/>
            </w:pPr>
            <w:r>
              <w:rPr>
                <w:rFonts w:hint="eastAsia" w:ascii="思源黑体" w:hAnsi="思源黑体" w:eastAsia="思源黑体" w:cs="思源黑体"/>
                <w:sz w:val="24"/>
                <w:szCs w:val="24"/>
              </w:rPr>
              <w:t>线分辨力</w:t>
            </w:r>
          </w:p>
        </w:tc>
        <w:tc>
          <w:tcPr>
            <w:tcW w:w="6179" w:type="dxa"/>
            <w:vAlign w:val="center"/>
          </w:tcPr>
          <w:p w14:paraId="0BFD1687">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38AWG</w:t>
            </w:r>
          </w:p>
        </w:tc>
      </w:tr>
      <w:tr w14:paraId="54F858B8">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39BED5E0">
            <w:pPr>
              <w:pStyle w:val="20"/>
              <w:spacing w:line="240" w:lineRule="auto"/>
              <w:rPr>
                <w:rFonts w:hint="eastAsia" w:ascii="思源黑体" w:hAnsi="思源黑体" w:eastAsia="思源黑体" w:cs="思源黑体"/>
                <w:sz w:val="24"/>
                <w:szCs w:val="24"/>
              </w:rPr>
            </w:pPr>
          </w:p>
        </w:tc>
        <w:tc>
          <w:tcPr>
            <w:tcW w:w="1920" w:type="dxa"/>
            <w:vAlign w:val="center"/>
          </w:tcPr>
          <w:p w14:paraId="6816A7A1">
            <w:pPr>
              <w:pStyle w:val="20"/>
              <w:spacing w:line="240" w:lineRule="auto"/>
            </w:pPr>
            <w:r>
              <w:rPr>
                <w:rFonts w:hint="eastAsia" w:ascii="思源黑体" w:hAnsi="思源黑体" w:eastAsia="思源黑体" w:cs="思源黑体"/>
                <w:sz w:val="24"/>
                <w:szCs w:val="24"/>
              </w:rPr>
              <w:t>穿透分辨力</w:t>
            </w:r>
          </w:p>
        </w:tc>
        <w:tc>
          <w:tcPr>
            <w:tcW w:w="6179" w:type="dxa"/>
            <w:vAlign w:val="center"/>
          </w:tcPr>
          <w:p w14:paraId="1473435D">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34AWG</w:t>
            </w:r>
          </w:p>
        </w:tc>
      </w:tr>
      <w:tr w14:paraId="65DF9E9D">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6CBECA7A">
            <w:pPr>
              <w:pStyle w:val="20"/>
              <w:spacing w:line="240" w:lineRule="auto"/>
              <w:rPr>
                <w:rFonts w:hint="eastAsia" w:ascii="思源黑体" w:hAnsi="思源黑体" w:eastAsia="思源黑体" w:cs="思源黑体"/>
                <w:sz w:val="24"/>
                <w:szCs w:val="24"/>
              </w:rPr>
            </w:pPr>
          </w:p>
        </w:tc>
        <w:tc>
          <w:tcPr>
            <w:tcW w:w="1920" w:type="dxa"/>
            <w:vAlign w:val="center"/>
          </w:tcPr>
          <w:p w14:paraId="7BDDEE66">
            <w:pPr>
              <w:pStyle w:val="20"/>
              <w:spacing w:line="240" w:lineRule="auto"/>
            </w:pPr>
            <w:r>
              <w:rPr>
                <w:rFonts w:hint="eastAsia" w:ascii="思源黑体" w:hAnsi="思源黑体" w:eastAsia="思源黑体" w:cs="思源黑体"/>
                <w:sz w:val="24"/>
                <w:szCs w:val="24"/>
              </w:rPr>
              <w:t>空间分辨力</w:t>
            </w:r>
          </w:p>
        </w:tc>
        <w:tc>
          <w:tcPr>
            <w:tcW w:w="6179" w:type="dxa"/>
            <w:vAlign w:val="center"/>
          </w:tcPr>
          <w:p w14:paraId="5E7F0633">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垂直：1.0mm，水平：1.0mm</w:t>
            </w:r>
          </w:p>
        </w:tc>
      </w:tr>
      <w:tr w14:paraId="123AE1C7">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40E13564">
            <w:pPr>
              <w:pStyle w:val="20"/>
              <w:spacing w:line="240" w:lineRule="auto"/>
              <w:rPr>
                <w:rFonts w:hint="eastAsia" w:ascii="思源黑体" w:hAnsi="思源黑体" w:eastAsia="思源黑体" w:cs="思源黑体"/>
                <w:sz w:val="24"/>
                <w:szCs w:val="24"/>
              </w:rPr>
            </w:pPr>
          </w:p>
        </w:tc>
        <w:tc>
          <w:tcPr>
            <w:tcW w:w="1920" w:type="dxa"/>
            <w:vAlign w:val="center"/>
          </w:tcPr>
          <w:p w14:paraId="7BD6F24C">
            <w:pPr>
              <w:pStyle w:val="20"/>
              <w:spacing w:line="240" w:lineRule="auto"/>
            </w:pPr>
            <w:r>
              <w:rPr>
                <w:rFonts w:hint="eastAsia" w:ascii="思源黑体" w:hAnsi="思源黑体" w:eastAsia="思源黑体" w:cs="思源黑体"/>
                <w:sz w:val="24"/>
                <w:szCs w:val="24"/>
              </w:rPr>
              <w:t>穿透力</w:t>
            </w:r>
          </w:p>
        </w:tc>
        <w:tc>
          <w:tcPr>
            <w:tcW w:w="6179" w:type="dxa"/>
            <w:vAlign w:val="center"/>
          </w:tcPr>
          <w:p w14:paraId="143AA849">
            <w:pPr>
              <w:pStyle w:val="21"/>
              <w:framePr w:hSpace="0" w:wrap="auto" w:vAnchor="margin" w:hAnchor="text" w:yAlign="inline"/>
              <w:spacing w:before="62" w:after="62"/>
              <w:ind w:right="90"/>
              <w:jc w:val="left"/>
            </w:pPr>
            <w:r>
              <w:rPr>
                <w:rFonts w:hint="eastAsia" w:ascii="思源黑体" w:hAnsi="思源黑体" w:eastAsia="思源黑体" w:cs="思源黑体"/>
                <w:color w:val="EE822F" w:themeColor="accent2"/>
                <w:sz w:val="24"/>
                <w:szCs w:val="24"/>
                <w:lang w:val="en-US" w:eastAsia="zh-CN"/>
                <w14:textFill>
                  <w14:solidFill>
                    <w14:schemeClr w14:val="accent2"/>
                  </w14:solidFill>
                </w14:textFill>
              </w:rPr>
              <w:t>34-43</w:t>
            </w:r>
            <w:r>
              <w:rPr>
                <w:rFonts w:hint="eastAsia" w:ascii="思源黑体" w:hAnsi="思源黑体" w:eastAsia="思源黑体" w:cs="思源黑体"/>
                <w:color w:val="EE822F" w:themeColor="accent2"/>
                <w:sz w:val="24"/>
                <w:szCs w:val="24"/>
                <w14:textFill>
                  <w14:solidFill>
                    <w14:schemeClr w14:val="accent2"/>
                  </w14:solidFill>
                </w14:textFill>
              </w:rPr>
              <w:t>mm</w:t>
            </w:r>
          </w:p>
        </w:tc>
      </w:tr>
      <w:tr w14:paraId="43E3FCE0">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7B0AA07A">
            <w:pPr>
              <w:pStyle w:val="20"/>
              <w:spacing w:line="240" w:lineRule="auto"/>
              <w:rPr>
                <w:rFonts w:hint="eastAsia" w:ascii="思源黑体" w:hAnsi="思源黑体" w:eastAsia="思源黑体" w:cs="思源黑体"/>
                <w:sz w:val="24"/>
                <w:szCs w:val="24"/>
              </w:rPr>
            </w:pPr>
          </w:p>
        </w:tc>
        <w:tc>
          <w:tcPr>
            <w:tcW w:w="1920" w:type="dxa"/>
            <w:vAlign w:val="center"/>
          </w:tcPr>
          <w:p w14:paraId="571C0A52">
            <w:pPr>
              <w:pStyle w:val="20"/>
              <w:spacing w:line="240" w:lineRule="auto"/>
            </w:pPr>
            <w:r>
              <w:rPr>
                <w:rFonts w:hint="eastAsia" w:ascii="思源黑体" w:hAnsi="思源黑体" w:eastAsia="思源黑体" w:cs="思源黑体"/>
                <w:sz w:val="24"/>
                <w:szCs w:val="24"/>
              </w:rPr>
              <w:t>有机物分辨力</w:t>
            </w:r>
          </w:p>
        </w:tc>
        <w:tc>
          <w:tcPr>
            <w:tcW w:w="6179" w:type="dxa"/>
            <w:vAlign w:val="center"/>
          </w:tcPr>
          <w:p w14:paraId="631D9E3A">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1mm～120mm</w:t>
            </w:r>
          </w:p>
        </w:tc>
      </w:tr>
      <w:tr w14:paraId="4E910965">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1258" w:hRule="atLeast"/>
        </w:trPr>
        <w:tc>
          <w:tcPr>
            <w:tcW w:w="919" w:type="dxa"/>
            <w:vAlign w:val="center"/>
          </w:tcPr>
          <w:p w14:paraId="161C695C">
            <w:pPr>
              <w:pStyle w:val="20"/>
              <w:spacing w:line="240" w:lineRule="auto"/>
              <w:rPr>
                <w:rFonts w:hint="eastAsia" w:ascii="思源黑体" w:hAnsi="思源黑体" w:eastAsia="思源黑体" w:cs="思源黑体"/>
                <w:sz w:val="24"/>
                <w:szCs w:val="24"/>
              </w:rPr>
            </w:pPr>
          </w:p>
        </w:tc>
        <w:tc>
          <w:tcPr>
            <w:tcW w:w="1920" w:type="dxa"/>
            <w:vAlign w:val="center"/>
          </w:tcPr>
          <w:p w14:paraId="4E4C1F73">
            <w:pPr>
              <w:pStyle w:val="20"/>
              <w:spacing w:line="240" w:lineRule="auto"/>
            </w:pPr>
            <w:r>
              <w:rPr>
                <w:rFonts w:hint="eastAsia" w:ascii="思源黑体" w:hAnsi="思源黑体" w:eastAsia="思源黑体" w:cs="思源黑体"/>
                <w:sz w:val="24"/>
                <w:szCs w:val="24"/>
              </w:rPr>
              <w:t>灰度、混合物分辨力</w:t>
            </w:r>
          </w:p>
        </w:tc>
        <w:tc>
          <w:tcPr>
            <w:tcW w:w="6179" w:type="dxa"/>
            <w:vAlign w:val="center"/>
          </w:tcPr>
          <w:p w14:paraId="4C7FA704">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1mm～60mm</w:t>
            </w:r>
          </w:p>
        </w:tc>
      </w:tr>
      <w:tr w14:paraId="44F5C454">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0277A66C">
            <w:pPr>
              <w:pStyle w:val="20"/>
              <w:spacing w:line="240" w:lineRule="auto"/>
              <w:rPr>
                <w:rFonts w:hint="eastAsia" w:ascii="思源黑体" w:hAnsi="思源黑体" w:eastAsia="思源黑体" w:cs="思源黑体"/>
                <w:sz w:val="24"/>
                <w:szCs w:val="24"/>
              </w:rPr>
            </w:pPr>
          </w:p>
        </w:tc>
        <w:tc>
          <w:tcPr>
            <w:tcW w:w="1920" w:type="dxa"/>
            <w:vAlign w:val="center"/>
          </w:tcPr>
          <w:p w14:paraId="66A3B4D5">
            <w:pPr>
              <w:pStyle w:val="20"/>
              <w:spacing w:line="240" w:lineRule="auto"/>
            </w:pPr>
            <w:r>
              <w:rPr>
                <w:rFonts w:hint="eastAsia" w:ascii="思源黑体" w:hAnsi="思源黑体" w:eastAsia="思源黑体" w:cs="思源黑体"/>
                <w:sz w:val="24"/>
                <w:szCs w:val="24"/>
              </w:rPr>
              <w:t>无机物分辨力</w:t>
            </w:r>
          </w:p>
        </w:tc>
        <w:tc>
          <w:tcPr>
            <w:tcW w:w="6179" w:type="dxa"/>
            <w:vAlign w:val="center"/>
          </w:tcPr>
          <w:p w14:paraId="1C6D1887">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0.2mm～14mm</w:t>
            </w:r>
          </w:p>
        </w:tc>
      </w:tr>
      <w:tr w14:paraId="611C17D9">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2BD35279">
            <w:pPr>
              <w:pStyle w:val="20"/>
              <w:spacing w:line="240" w:lineRule="auto"/>
              <w:rPr>
                <w:rFonts w:hint="eastAsia" w:ascii="思源黑体" w:hAnsi="思源黑体" w:eastAsia="思源黑体" w:cs="思源黑体"/>
                <w:sz w:val="24"/>
                <w:szCs w:val="24"/>
              </w:rPr>
            </w:pPr>
          </w:p>
        </w:tc>
        <w:tc>
          <w:tcPr>
            <w:tcW w:w="1920" w:type="dxa"/>
            <w:vAlign w:val="center"/>
          </w:tcPr>
          <w:p w14:paraId="295A82C7">
            <w:pPr>
              <w:pStyle w:val="20"/>
              <w:spacing w:line="240" w:lineRule="auto"/>
            </w:pPr>
            <w:r>
              <w:rPr>
                <w:rFonts w:hint="eastAsia" w:ascii="思源黑体" w:hAnsi="思源黑体" w:eastAsia="思源黑体" w:cs="思源黑体"/>
                <w:sz w:val="24"/>
                <w:szCs w:val="24"/>
              </w:rPr>
              <w:t>有效材料分辨力</w:t>
            </w:r>
          </w:p>
        </w:tc>
        <w:tc>
          <w:tcPr>
            <w:tcW w:w="6179" w:type="dxa"/>
            <w:vAlign w:val="center"/>
          </w:tcPr>
          <w:p w14:paraId="4E0E101A">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符合GB15208.1-2018要求</w:t>
            </w:r>
          </w:p>
        </w:tc>
      </w:tr>
      <w:tr w14:paraId="79B8745B">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3048AFAF">
            <w:pPr>
              <w:pStyle w:val="20"/>
              <w:spacing w:line="240" w:lineRule="auto"/>
              <w:rPr>
                <w:rFonts w:hint="eastAsia" w:ascii="思源黑体" w:hAnsi="思源黑体" w:eastAsia="思源黑体" w:cs="思源黑体"/>
                <w:sz w:val="24"/>
                <w:szCs w:val="24"/>
              </w:rPr>
            </w:pPr>
          </w:p>
        </w:tc>
        <w:tc>
          <w:tcPr>
            <w:tcW w:w="1920" w:type="dxa"/>
            <w:vAlign w:val="center"/>
          </w:tcPr>
          <w:p w14:paraId="4C1934E6">
            <w:pPr>
              <w:pStyle w:val="20"/>
              <w:spacing w:line="240" w:lineRule="auto"/>
            </w:pPr>
            <w:r>
              <w:rPr>
                <w:rFonts w:hint="eastAsia" w:ascii="思源黑体" w:hAnsi="思源黑体" w:eastAsia="思源黑体" w:cs="思源黑体"/>
                <w:sz w:val="24"/>
                <w:szCs w:val="24"/>
              </w:rPr>
              <w:t>单次剂量</w:t>
            </w:r>
          </w:p>
        </w:tc>
        <w:tc>
          <w:tcPr>
            <w:tcW w:w="6179" w:type="dxa"/>
            <w:vAlign w:val="center"/>
          </w:tcPr>
          <w:p w14:paraId="05760186">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≤5μSv(μGy)</w:t>
            </w:r>
          </w:p>
        </w:tc>
      </w:tr>
      <w:tr w14:paraId="6F64081D">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33D8B388">
            <w:pPr>
              <w:pStyle w:val="20"/>
              <w:spacing w:line="240" w:lineRule="auto"/>
              <w:rPr>
                <w:rFonts w:hint="eastAsia" w:ascii="思源黑体" w:hAnsi="思源黑体" w:eastAsia="思源黑体" w:cs="思源黑体"/>
                <w:sz w:val="24"/>
                <w:szCs w:val="24"/>
              </w:rPr>
            </w:pPr>
          </w:p>
        </w:tc>
        <w:tc>
          <w:tcPr>
            <w:tcW w:w="1920" w:type="dxa"/>
            <w:vAlign w:val="center"/>
          </w:tcPr>
          <w:p w14:paraId="5EB776FE">
            <w:pPr>
              <w:pStyle w:val="20"/>
              <w:spacing w:line="240" w:lineRule="auto"/>
            </w:pPr>
            <w:r>
              <w:rPr>
                <w:rFonts w:hint="eastAsia" w:ascii="思源黑体" w:hAnsi="思源黑体" w:eastAsia="思源黑体" w:cs="思源黑体"/>
                <w:sz w:val="24"/>
                <w:szCs w:val="24"/>
              </w:rPr>
              <w:t>泄露剂量</w:t>
            </w:r>
          </w:p>
        </w:tc>
        <w:tc>
          <w:tcPr>
            <w:tcW w:w="6179" w:type="dxa"/>
            <w:vAlign w:val="center"/>
          </w:tcPr>
          <w:p w14:paraId="09C9C983">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≤0.5μSv/h(μGy/h)</w:t>
            </w:r>
          </w:p>
        </w:tc>
      </w:tr>
      <w:tr w14:paraId="3E18CB82">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618BA894">
            <w:pPr>
              <w:pStyle w:val="20"/>
              <w:spacing w:line="240" w:lineRule="auto"/>
              <w:rPr>
                <w:rFonts w:hint="eastAsia" w:ascii="思源黑体" w:hAnsi="思源黑体" w:eastAsia="思源黑体" w:cs="思源黑体"/>
                <w:sz w:val="24"/>
                <w:szCs w:val="24"/>
              </w:rPr>
            </w:pPr>
          </w:p>
        </w:tc>
        <w:tc>
          <w:tcPr>
            <w:tcW w:w="1920" w:type="dxa"/>
            <w:vAlign w:val="center"/>
          </w:tcPr>
          <w:p w14:paraId="07989DED">
            <w:pPr>
              <w:pStyle w:val="20"/>
              <w:spacing w:line="240" w:lineRule="auto"/>
            </w:pPr>
            <w:r>
              <w:rPr>
                <w:rFonts w:hint="eastAsia" w:ascii="思源黑体" w:hAnsi="思源黑体" w:eastAsia="思源黑体" w:cs="思源黑体"/>
                <w:sz w:val="24"/>
                <w:szCs w:val="24"/>
              </w:rPr>
              <w:t>噪音级</w:t>
            </w:r>
          </w:p>
        </w:tc>
        <w:tc>
          <w:tcPr>
            <w:tcW w:w="6179" w:type="dxa"/>
            <w:vAlign w:val="center"/>
          </w:tcPr>
          <w:p w14:paraId="314010B2">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不大于59dB</w:t>
            </w:r>
          </w:p>
        </w:tc>
      </w:tr>
      <w:tr w14:paraId="7A77ED08">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5179321D">
            <w:pPr>
              <w:pStyle w:val="20"/>
              <w:spacing w:line="240" w:lineRule="auto"/>
              <w:rPr>
                <w:rFonts w:hint="eastAsia" w:ascii="思源黑体" w:hAnsi="思源黑体" w:eastAsia="思源黑体" w:cs="思源黑体"/>
                <w:sz w:val="24"/>
                <w:szCs w:val="24"/>
              </w:rPr>
            </w:pPr>
          </w:p>
        </w:tc>
        <w:tc>
          <w:tcPr>
            <w:tcW w:w="1920" w:type="dxa"/>
            <w:vAlign w:val="center"/>
          </w:tcPr>
          <w:p w14:paraId="54BCBED6">
            <w:pPr>
              <w:pStyle w:val="20"/>
              <w:spacing w:line="240" w:lineRule="auto"/>
            </w:pPr>
            <w:r>
              <w:rPr>
                <w:rFonts w:hint="eastAsia" w:ascii="思源黑体" w:hAnsi="思源黑体" w:eastAsia="思源黑体" w:cs="思源黑体"/>
                <w:sz w:val="24"/>
                <w:szCs w:val="24"/>
              </w:rPr>
              <w:t>传送带速度</w:t>
            </w:r>
          </w:p>
        </w:tc>
        <w:tc>
          <w:tcPr>
            <w:tcW w:w="6179" w:type="dxa"/>
            <w:vAlign w:val="center"/>
          </w:tcPr>
          <w:p w14:paraId="4AAEAFE3">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0.2m/s、0.3m/s、0.4m/s可调</w:t>
            </w:r>
          </w:p>
        </w:tc>
      </w:tr>
      <w:tr w14:paraId="6A4A0D14">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2426DB1F">
            <w:pPr>
              <w:pStyle w:val="20"/>
              <w:spacing w:line="240" w:lineRule="auto"/>
              <w:rPr>
                <w:rFonts w:hint="eastAsia" w:ascii="思源黑体" w:hAnsi="思源黑体" w:eastAsia="思源黑体" w:cs="思源黑体"/>
                <w:sz w:val="24"/>
                <w:szCs w:val="24"/>
              </w:rPr>
            </w:pPr>
          </w:p>
        </w:tc>
        <w:tc>
          <w:tcPr>
            <w:tcW w:w="1920" w:type="dxa"/>
            <w:vAlign w:val="center"/>
          </w:tcPr>
          <w:p w14:paraId="3BADA1A0">
            <w:pPr>
              <w:pStyle w:val="20"/>
              <w:spacing w:line="240" w:lineRule="auto"/>
            </w:pPr>
            <w:r>
              <w:rPr>
                <w:rFonts w:hint="eastAsia" w:ascii="思源黑体" w:hAnsi="思源黑体" w:eastAsia="思源黑体" w:cs="思源黑体"/>
                <w:sz w:val="24"/>
                <w:szCs w:val="24"/>
              </w:rPr>
              <w:t>传送带最大负荷</w:t>
            </w:r>
          </w:p>
        </w:tc>
        <w:tc>
          <w:tcPr>
            <w:tcW w:w="6179" w:type="dxa"/>
            <w:vAlign w:val="center"/>
          </w:tcPr>
          <w:p w14:paraId="10EC39A4">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170kg</w:t>
            </w:r>
          </w:p>
        </w:tc>
      </w:tr>
      <w:tr w14:paraId="3330205D">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0B131896">
            <w:pPr>
              <w:pStyle w:val="20"/>
              <w:spacing w:line="240" w:lineRule="auto"/>
              <w:rPr>
                <w:rFonts w:hint="eastAsia" w:ascii="思源黑体" w:hAnsi="思源黑体" w:eastAsia="思源黑体" w:cs="思源黑体"/>
                <w:sz w:val="24"/>
                <w:szCs w:val="24"/>
              </w:rPr>
            </w:pPr>
          </w:p>
        </w:tc>
        <w:tc>
          <w:tcPr>
            <w:tcW w:w="1920" w:type="dxa"/>
            <w:vAlign w:val="center"/>
          </w:tcPr>
          <w:p w14:paraId="74917B49">
            <w:pPr>
              <w:pStyle w:val="20"/>
              <w:spacing w:line="240" w:lineRule="auto"/>
            </w:pPr>
            <w:r>
              <w:rPr>
                <w:rFonts w:hint="eastAsia" w:ascii="思源黑体" w:hAnsi="思源黑体" w:eastAsia="思源黑体" w:cs="思源黑体"/>
                <w:sz w:val="24"/>
                <w:szCs w:val="24"/>
              </w:rPr>
              <w:t>安全性能要求</w:t>
            </w:r>
          </w:p>
        </w:tc>
        <w:tc>
          <w:tcPr>
            <w:tcW w:w="6179" w:type="dxa"/>
            <w:vAlign w:val="center"/>
          </w:tcPr>
          <w:p w14:paraId="6B518EFD">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符合GB15208.1-2018要求</w:t>
            </w:r>
          </w:p>
        </w:tc>
      </w:tr>
      <w:tr w14:paraId="06A50A0B">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74316409">
            <w:pPr>
              <w:pStyle w:val="20"/>
              <w:spacing w:line="240" w:lineRule="auto"/>
              <w:rPr>
                <w:rFonts w:hint="eastAsia" w:ascii="思源黑体" w:hAnsi="思源黑体" w:eastAsia="思源黑体" w:cs="思源黑体"/>
                <w:sz w:val="24"/>
                <w:szCs w:val="24"/>
              </w:rPr>
            </w:pPr>
          </w:p>
        </w:tc>
        <w:tc>
          <w:tcPr>
            <w:tcW w:w="1920" w:type="dxa"/>
            <w:vAlign w:val="center"/>
          </w:tcPr>
          <w:p w14:paraId="1EFF0E20">
            <w:pPr>
              <w:pStyle w:val="20"/>
              <w:spacing w:line="240" w:lineRule="auto"/>
            </w:pPr>
            <w:r>
              <w:rPr>
                <w:rFonts w:hint="eastAsia" w:ascii="思源黑体" w:hAnsi="思源黑体" w:eastAsia="思源黑体" w:cs="思源黑体"/>
                <w:sz w:val="24"/>
                <w:szCs w:val="24"/>
              </w:rPr>
              <w:t>电磁兼容性</w:t>
            </w:r>
          </w:p>
        </w:tc>
        <w:tc>
          <w:tcPr>
            <w:tcW w:w="6179" w:type="dxa"/>
            <w:vAlign w:val="center"/>
          </w:tcPr>
          <w:p w14:paraId="4E905E0A">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符合GB15208.1-2018要求</w:t>
            </w:r>
          </w:p>
        </w:tc>
      </w:tr>
      <w:tr w14:paraId="7A719527">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4F2A94D3">
            <w:pPr>
              <w:pStyle w:val="20"/>
              <w:spacing w:line="240" w:lineRule="auto"/>
              <w:rPr>
                <w:rFonts w:hint="eastAsia" w:ascii="思源黑体" w:hAnsi="思源黑体" w:eastAsia="思源黑体" w:cs="思源黑体"/>
                <w:sz w:val="24"/>
                <w:szCs w:val="24"/>
              </w:rPr>
            </w:pPr>
          </w:p>
        </w:tc>
        <w:tc>
          <w:tcPr>
            <w:tcW w:w="1920" w:type="dxa"/>
            <w:vAlign w:val="center"/>
          </w:tcPr>
          <w:p w14:paraId="2623271E">
            <w:pPr>
              <w:pStyle w:val="20"/>
              <w:spacing w:line="240" w:lineRule="auto"/>
            </w:pPr>
            <w:r>
              <w:rPr>
                <w:rFonts w:hint="eastAsia" w:ascii="思源黑体" w:hAnsi="思源黑体" w:eastAsia="思源黑体" w:cs="思源黑体"/>
                <w:sz w:val="24"/>
                <w:szCs w:val="24"/>
              </w:rPr>
              <w:t>电气安全</w:t>
            </w:r>
          </w:p>
        </w:tc>
        <w:tc>
          <w:tcPr>
            <w:tcW w:w="6179" w:type="dxa"/>
            <w:vAlign w:val="center"/>
          </w:tcPr>
          <w:p w14:paraId="41BD2FE5">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符合GB15208.1-2018要求</w:t>
            </w:r>
          </w:p>
        </w:tc>
      </w:tr>
      <w:tr w14:paraId="1FACFF83">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6FE0DA7D">
            <w:pPr>
              <w:pStyle w:val="20"/>
              <w:spacing w:line="240" w:lineRule="auto"/>
              <w:rPr>
                <w:rFonts w:hint="eastAsia" w:ascii="思源黑体" w:hAnsi="思源黑体" w:eastAsia="思源黑体" w:cs="思源黑体"/>
                <w:sz w:val="24"/>
                <w:szCs w:val="24"/>
              </w:rPr>
            </w:pPr>
          </w:p>
        </w:tc>
        <w:tc>
          <w:tcPr>
            <w:tcW w:w="1920" w:type="dxa"/>
            <w:vAlign w:val="center"/>
          </w:tcPr>
          <w:p w14:paraId="3AE6BDDF">
            <w:pPr>
              <w:pStyle w:val="20"/>
              <w:spacing w:line="240" w:lineRule="auto"/>
            </w:pPr>
            <w:r>
              <w:rPr>
                <w:rFonts w:hint="eastAsia" w:ascii="思源黑体" w:hAnsi="思源黑体" w:eastAsia="思源黑体" w:cs="思源黑体"/>
                <w:sz w:val="24"/>
                <w:szCs w:val="24"/>
              </w:rPr>
              <w:t>环境适应性</w:t>
            </w:r>
          </w:p>
        </w:tc>
        <w:tc>
          <w:tcPr>
            <w:tcW w:w="6179" w:type="dxa"/>
            <w:vAlign w:val="center"/>
          </w:tcPr>
          <w:p w14:paraId="066E9BD2">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符合GB15208.1-2018要求</w:t>
            </w:r>
          </w:p>
        </w:tc>
      </w:tr>
      <w:tr w14:paraId="6E2426BB">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493B98F7">
            <w:pPr>
              <w:pStyle w:val="20"/>
              <w:spacing w:line="240" w:lineRule="auto"/>
              <w:rPr>
                <w:rFonts w:hint="eastAsia" w:ascii="思源黑体" w:hAnsi="思源黑体" w:eastAsia="思源黑体" w:cs="思源黑体"/>
                <w:sz w:val="24"/>
                <w:szCs w:val="24"/>
              </w:rPr>
            </w:pPr>
          </w:p>
        </w:tc>
        <w:tc>
          <w:tcPr>
            <w:tcW w:w="1920" w:type="dxa"/>
            <w:vAlign w:val="center"/>
          </w:tcPr>
          <w:p w14:paraId="234185C4">
            <w:pPr>
              <w:pStyle w:val="20"/>
              <w:spacing w:line="240" w:lineRule="auto"/>
            </w:pPr>
            <w:r>
              <w:rPr>
                <w:rFonts w:hint="eastAsia" w:ascii="思源黑体" w:hAnsi="思源黑体" w:eastAsia="思源黑体" w:cs="思源黑体"/>
                <w:sz w:val="24"/>
                <w:szCs w:val="24"/>
              </w:rPr>
              <w:t>泄漏电流</w:t>
            </w:r>
          </w:p>
        </w:tc>
        <w:tc>
          <w:tcPr>
            <w:tcW w:w="6179" w:type="dxa"/>
            <w:vAlign w:val="center"/>
          </w:tcPr>
          <w:p w14:paraId="37DA1A6B">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不大于0.25mA</w:t>
            </w:r>
          </w:p>
        </w:tc>
      </w:tr>
      <w:tr w14:paraId="6F8E97EF">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73F3F7E8">
            <w:pPr>
              <w:pStyle w:val="20"/>
              <w:spacing w:line="240" w:lineRule="auto"/>
              <w:rPr>
                <w:rFonts w:hint="eastAsia" w:ascii="思源黑体" w:hAnsi="思源黑体" w:eastAsia="思源黑体" w:cs="思源黑体"/>
                <w:sz w:val="24"/>
                <w:szCs w:val="24"/>
              </w:rPr>
            </w:pPr>
          </w:p>
        </w:tc>
        <w:tc>
          <w:tcPr>
            <w:tcW w:w="1920" w:type="dxa"/>
            <w:vAlign w:val="center"/>
          </w:tcPr>
          <w:p w14:paraId="18C289A6">
            <w:pPr>
              <w:pStyle w:val="20"/>
              <w:spacing w:line="240" w:lineRule="auto"/>
            </w:pPr>
            <w:r>
              <w:rPr>
                <w:rFonts w:hint="eastAsia" w:ascii="思源黑体" w:hAnsi="思源黑体" w:eastAsia="思源黑体" w:cs="思源黑体"/>
                <w:sz w:val="24"/>
                <w:szCs w:val="24"/>
              </w:rPr>
              <w:t>录像模式</w:t>
            </w:r>
          </w:p>
        </w:tc>
        <w:tc>
          <w:tcPr>
            <w:tcW w:w="6179" w:type="dxa"/>
            <w:vAlign w:val="center"/>
          </w:tcPr>
          <w:p w14:paraId="320C5B1A">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录像计划（连续录像, 事件联动录像,不录像），手动录像</w:t>
            </w:r>
          </w:p>
        </w:tc>
      </w:tr>
      <w:tr w14:paraId="6CB60C87">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7C14CDA7">
            <w:pPr>
              <w:pStyle w:val="20"/>
              <w:spacing w:line="240" w:lineRule="auto"/>
              <w:rPr>
                <w:rFonts w:hint="eastAsia" w:ascii="思源黑体" w:hAnsi="思源黑体" w:eastAsia="思源黑体" w:cs="思源黑体"/>
                <w:sz w:val="24"/>
                <w:szCs w:val="24"/>
              </w:rPr>
            </w:pPr>
          </w:p>
        </w:tc>
        <w:tc>
          <w:tcPr>
            <w:tcW w:w="1920" w:type="dxa"/>
            <w:vAlign w:val="center"/>
          </w:tcPr>
          <w:p w14:paraId="0136CF08">
            <w:pPr>
              <w:pStyle w:val="20"/>
              <w:spacing w:line="240" w:lineRule="auto"/>
            </w:pPr>
            <w:r>
              <w:rPr>
                <w:rFonts w:hint="eastAsia" w:ascii="思源黑体" w:hAnsi="思源黑体" w:eastAsia="思源黑体" w:cs="思源黑体"/>
                <w:sz w:val="24"/>
                <w:szCs w:val="24"/>
              </w:rPr>
              <w:t>多路回放</w:t>
            </w:r>
          </w:p>
        </w:tc>
        <w:tc>
          <w:tcPr>
            <w:tcW w:w="6179" w:type="dxa"/>
            <w:vAlign w:val="center"/>
          </w:tcPr>
          <w:p w14:paraId="12373DC8">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最大支持12路回放</w:t>
            </w:r>
          </w:p>
        </w:tc>
      </w:tr>
      <w:tr w14:paraId="26995688">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2003" w:hRule="atLeast"/>
        </w:trPr>
        <w:tc>
          <w:tcPr>
            <w:tcW w:w="919" w:type="dxa"/>
            <w:vAlign w:val="center"/>
          </w:tcPr>
          <w:p w14:paraId="308ED7C9">
            <w:pPr>
              <w:pStyle w:val="20"/>
              <w:spacing w:line="240" w:lineRule="auto"/>
              <w:rPr>
                <w:rFonts w:hint="eastAsia" w:ascii="思源黑体" w:hAnsi="思源黑体" w:eastAsia="思源黑体" w:cs="思源黑体"/>
                <w:sz w:val="24"/>
                <w:szCs w:val="24"/>
              </w:rPr>
            </w:pPr>
          </w:p>
        </w:tc>
        <w:tc>
          <w:tcPr>
            <w:tcW w:w="1920" w:type="dxa"/>
            <w:vAlign w:val="center"/>
          </w:tcPr>
          <w:p w14:paraId="529018F2">
            <w:pPr>
              <w:pStyle w:val="20"/>
              <w:spacing w:line="240" w:lineRule="auto"/>
            </w:pPr>
            <w:r>
              <w:rPr>
                <w:rFonts w:hint="eastAsia" w:ascii="思源黑体" w:hAnsi="思源黑体" w:eastAsia="思源黑体" w:cs="思源黑体"/>
                <w:sz w:val="24"/>
                <w:szCs w:val="24"/>
              </w:rPr>
              <w:t>回放功能</w:t>
            </w:r>
          </w:p>
        </w:tc>
        <w:tc>
          <w:tcPr>
            <w:tcW w:w="6179" w:type="dxa"/>
            <w:vAlign w:val="center"/>
          </w:tcPr>
          <w:p w14:paraId="3A43BDB1">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1. 支持播放/暂停/停止/快进/快退/倒放/逐帧播放；2. 支持全屏、备份（剪切/文件）、抓图、局部放大、开关音频功能</w:t>
            </w:r>
          </w:p>
        </w:tc>
      </w:tr>
      <w:tr w14:paraId="2858EA85">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642296A7">
            <w:pPr>
              <w:pStyle w:val="20"/>
              <w:spacing w:line="240" w:lineRule="auto"/>
              <w:rPr>
                <w:rFonts w:hint="eastAsia" w:ascii="思源黑体" w:hAnsi="思源黑体" w:eastAsia="思源黑体" w:cs="思源黑体"/>
                <w:sz w:val="24"/>
                <w:szCs w:val="24"/>
              </w:rPr>
            </w:pPr>
          </w:p>
        </w:tc>
        <w:tc>
          <w:tcPr>
            <w:tcW w:w="1920" w:type="dxa"/>
            <w:vAlign w:val="center"/>
          </w:tcPr>
          <w:p w14:paraId="7D2A2DB9">
            <w:pPr>
              <w:pStyle w:val="20"/>
              <w:spacing w:line="240" w:lineRule="auto"/>
            </w:pPr>
            <w:r>
              <w:rPr>
                <w:rFonts w:hint="eastAsia" w:ascii="思源黑体" w:hAnsi="思源黑体" w:eastAsia="思源黑体" w:cs="思源黑体"/>
                <w:sz w:val="24"/>
                <w:szCs w:val="24"/>
              </w:rPr>
              <w:t>备份方式</w:t>
            </w:r>
          </w:p>
        </w:tc>
        <w:tc>
          <w:tcPr>
            <w:tcW w:w="6179" w:type="dxa"/>
            <w:vAlign w:val="center"/>
          </w:tcPr>
          <w:p w14:paraId="14086B71">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USB/网络</w:t>
            </w:r>
          </w:p>
        </w:tc>
      </w:tr>
      <w:tr w14:paraId="024D331C">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411846AD">
            <w:pPr>
              <w:pStyle w:val="20"/>
              <w:spacing w:line="240" w:lineRule="auto"/>
              <w:rPr>
                <w:rFonts w:hint="eastAsia" w:ascii="思源黑体" w:hAnsi="思源黑体" w:eastAsia="思源黑体" w:cs="思源黑体"/>
                <w:sz w:val="24"/>
                <w:szCs w:val="24"/>
              </w:rPr>
            </w:pPr>
          </w:p>
        </w:tc>
        <w:tc>
          <w:tcPr>
            <w:tcW w:w="1920" w:type="dxa"/>
            <w:vAlign w:val="center"/>
          </w:tcPr>
          <w:p w14:paraId="55386443">
            <w:pPr>
              <w:pStyle w:val="20"/>
              <w:spacing w:line="240" w:lineRule="auto"/>
            </w:pPr>
            <w:r>
              <w:rPr>
                <w:rFonts w:hint="eastAsia" w:ascii="思源黑体" w:hAnsi="思源黑体" w:eastAsia="思源黑体" w:cs="思源黑体"/>
                <w:sz w:val="24"/>
                <w:szCs w:val="24"/>
              </w:rPr>
              <w:t>内置硬盘</w:t>
            </w:r>
          </w:p>
        </w:tc>
        <w:tc>
          <w:tcPr>
            <w:tcW w:w="6179" w:type="dxa"/>
            <w:vAlign w:val="center"/>
          </w:tcPr>
          <w:p w14:paraId="50B09B94">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最大支持4块10TB SATA硬盘，默认配置1块4TB硬盘</w:t>
            </w:r>
          </w:p>
        </w:tc>
      </w:tr>
      <w:tr w14:paraId="32EA1598">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10159606">
            <w:pPr>
              <w:pStyle w:val="20"/>
              <w:spacing w:line="240" w:lineRule="auto"/>
              <w:rPr>
                <w:rFonts w:hint="eastAsia" w:ascii="思源黑体" w:hAnsi="思源黑体" w:eastAsia="思源黑体" w:cs="思源黑体"/>
                <w:sz w:val="24"/>
                <w:szCs w:val="24"/>
              </w:rPr>
            </w:pPr>
          </w:p>
        </w:tc>
        <w:tc>
          <w:tcPr>
            <w:tcW w:w="1920" w:type="dxa"/>
            <w:vAlign w:val="center"/>
          </w:tcPr>
          <w:p w14:paraId="67C51931">
            <w:pPr>
              <w:pStyle w:val="20"/>
              <w:spacing w:line="240" w:lineRule="auto"/>
            </w:pPr>
            <w:r>
              <w:rPr>
                <w:rFonts w:hint="eastAsia" w:ascii="思源黑体" w:hAnsi="思源黑体" w:eastAsia="思源黑体" w:cs="思源黑体"/>
                <w:sz w:val="24"/>
                <w:szCs w:val="24"/>
              </w:rPr>
              <w:t>磁盘模式</w:t>
            </w:r>
          </w:p>
        </w:tc>
        <w:tc>
          <w:tcPr>
            <w:tcW w:w="6179" w:type="dxa"/>
            <w:vAlign w:val="center"/>
          </w:tcPr>
          <w:p w14:paraId="4E0E109D">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单盘，RAID 0/1/5（企业级硬盘），全局热备</w:t>
            </w:r>
          </w:p>
        </w:tc>
      </w:tr>
      <w:tr w14:paraId="337D0746">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644" w:hRule="atLeast"/>
        </w:trPr>
        <w:tc>
          <w:tcPr>
            <w:tcW w:w="919" w:type="dxa"/>
            <w:shd w:val="clear" w:color="auto" w:fill="D8D8D8" w:themeFill="background1" w:themeFillShade="D9"/>
          </w:tcPr>
          <w:p w14:paraId="61A72FB8">
            <w:pPr>
              <w:rPr>
                <w:rFonts w:hint="eastAsia" w:ascii="思源黑体" w:hAnsi="思源黑体" w:eastAsia="思源黑体" w:cs="思源黑体"/>
                <w:sz w:val="24"/>
                <w:szCs w:val="14"/>
                <w:lang w:val="en-US" w:eastAsia="zh-CN"/>
              </w:rPr>
            </w:pPr>
            <w:r>
              <w:rPr>
                <w:rFonts w:hint="eastAsia" w:ascii="思源黑体" w:hAnsi="思源黑体" w:eastAsia="思源黑体" w:cs="思源黑体"/>
                <w:sz w:val="24"/>
                <w:szCs w:val="14"/>
                <w:lang w:val="en-US" w:eastAsia="zh-CN"/>
              </w:rPr>
              <w:t>4</w:t>
            </w:r>
          </w:p>
        </w:tc>
        <w:tc>
          <w:tcPr>
            <w:tcW w:w="8099" w:type="dxa"/>
            <w:gridSpan w:val="2"/>
            <w:shd w:val="clear" w:color="auto" w:fill="D8D8D8" w:themeFill="background1" w:themeFillShade="D9"/>
          </w:tcPr>
          <w:p w14:paraId="46166613">
            <w:pPr>
              <w:rPr>
                <w:color w:val="00B0F0"/>
                <w:sz w:val="36"/>
                <w:szCs w:val="36"/>
              </w:rPr>
            </w:pPr>
            <w:r>
              <w:rPr>
                <w:rFonts w:hint="eastAsia" w:ascii="思源黑体" w:hAnsi="思源黑体" w:eastAsia="思源黑体" w:cs="思源黑体"/>
                <w:sz w:val="24"/>
                <w:szCs w:val="14"/>
              </w:rPr>
              <w:t>常规参数</w:t>
            </w:r>
          </w:p>
        </w:tc>
      </w:tr>
      <w:tr w14:paraId="7B6D37AD">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43BB5FEB">
            <w:pPr>
              <w:pStyle w:val="20"/>
              <w:spacing w:line="240" w:lineRule="auto"/>
              <w:rPr>
                <w:rFonts w:hint="eastAsia" w:ascii="思源黑体" w:hAnsi="思源黑体" w:eastAsia="思源黑体" w:cs="思源黑体"/>
                <w:sz w:val="24"/>
                <w:szCs w:val="24"/>
              </w:rPr>
            </w:pPr>
          </w:p>
        </w:tc>
        <w:tc>
          <w:tcPr>
            <w:tcW w:w="1920" w:type="dxa"/>
            <w:vAlign w:val="center"/>
          </w:tcPr>
          <w:p w14:paraId="41672658">
            <w:pPr>
              <w:pStyle w:val="20"/>
              <w:spacing w:line="240" w:lineRule="auto"/>
            </w:pPr>
            <w:r>
              <w:rPr>
                <w:rFonts w:hint="eastAsia" w:ascii="思源黑体" w:hAnsi="思源黑体" w:eastAsia="思源黑体" w:cs="思源黑体"/>
                <w:sz w:val="24"/>
                <w:szCs w:val="24"/>
              </w:rPr>
              <w:t>供电</w:t>
            </w:r>
          </w:p>
        </w:tc>
        <w:tc>
          <w:tcPr>
            <w:tcW w:w="6179" w:type="dxa"/>
            <w:vAlign w:val="center"/>
          </w:tcPr>
          <w:p w14:paraId="46BD4B9C">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220-240VAC，50/60Hz</w:t>
            </w:r>
          </w:p>
        </w:tc>
      </w:tr>
      <w:tr w14:paraId="33F7D728">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0E4F0DC9">
            <w:pPr>
              <w:pStyle w:val="20"/>
              <w:spacing w:line="240" w:lineRule="auto"/>
              <w:rPr>
                <w:rFonts w:hint="eastAsia" w:ascii="思源黑体" w:hAnsi="思源黑体" w:eastAsia="思源黑体" w:cs="思源黑体"/>
                <w:sz w:val="24"/>
                <w:szCs w:val="24"/>
              </w:rPr>
            </w:pPr>
          </w:p>
        </w:tc>
        <w:tc>
          <w:tcPr>
            <w:tcW w:w="1920" w:type="dxa"/>
            <w:vAlign w:val="center"/>
          </w:tcPr>
          <w:p w14:paraId="656137A0">
            <w:pPr>
              <w:pStyle w:val="20"/>
              <w:spacing w:line="240" w:lineRule="auto"/>
            </w:pPr>
            <w:r>
              <w:rPr>
                <w:rFonts w:hint="eastAsia" w:ascii="思源黑体" w:hAnsi="思源黑体" w:eastAsia="思源黑体" w:cs="思源黑体"/>
                <w:sz w:val="24"/>
                <w:szCs w:val="24"/>
              </w:rPr>
              <w:t>功耗（典型值）</w:t>
            </w:r>
          </w:p>
        </w:tc>
        <w:tc>
          <w:tcPr>
            <w:tcW w:w="6179" w:type="dxa"/>
            <w:vAlign w:val="center"/>
          </w:tcPr>
          <w:p w14:paraId="5FEDAD6B">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450W</w:t>
            </w:r>
          </w:p>
        </w:tc>
      </w:tr>
      <w:tr w14:paraId="703A8F99">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0965DF08">
            <w:pPr>
              <w:pStyle w:val="20"/>
              <w:spacing w:line="240" w:lineRule="auto"/>
              <w:rPr>
                <w:rFonts w:hint="eastAsia" w:ascii="思源黑体" w:hAnsi="思源黑体" w:eastAsia="思源黑体" w:cs="思源黑体"/>
                <w:sz w:val="24"/>
                <w:szCs w:val="24"/>
              </w:rPr>
            </w:pPr>
          </w:p>
        </w:tc>
        <w:tc>
          <w:tcPr>
            <w:tcW w:w="1920" w:type="dxa"/>
            <w:vAlign w:val="center"/>
          </w:tcPr>
          <w:p w14:paraId="65839E62">
            <w:pPr>
              <w:pStyle w:val="20"/>
              <w:spacing w:line="240" w:lineRule="auto"/>
            </w:pPr>
            <w:r>
              <w:rPr>
                <w:rFonts w:hint="eastAsia" w:ascii="思源黑体" w:hAnsi="思源黑体" w:eastAsia="思源黑体" w:cs="思源黑体"/>
                <w:sz w:val="24"/>
                <w:szCs w:val="24"/>
              </w:rPr>
              <w:t>最大功耗</w:t>
            </w:r>
          </w:p>
        </w:tc>
        <w:tc>
          <w:tcPr>
            <w:tcW w:w="6179" w:type="dxa"/>
            <w:vAlign w:val="center"/>
          </w:tcPr>
          <w:p w14:paraId="3A50EAE4">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1kW</w:t>
            </w:r>
          </w:p>
        </w:tc>
      </w:tr>
      <w:tr w14:paraId="08A2E5AB">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0FFB1D73">
            <w:pPr>
              <w:pStyle w:val="20"/>
              <w:spacing w:line="240" w:lineRule="auto"/>
              <w:rPr>
                <w:rFonts w:hint="eastAsia" w:ascii="思源黑体" w:hAnsi="思源黑体" w:eastAsia="思源黑体" w:cs="思源黑体"/>
                <w:sz w:val="24"/>
                <w:szCs w:val="24"/>
              </w:rPr>
            </w:pPr>
          </w:p>
        </w:tc>
        <w:tc>
          <w:tcPr>
            <w:tcW w:w="1920" w:type="dxa"/>
            <w:vAlign w:val="center"/>
          </w:tcPr>
          <w:p w14:paraId="6F88594C">
            <w:pPr>
              <w:pStyle w:val="20"/>
              <w:spacing w:line="240" w:lineRule="auto"/>
            </w:pPr>
            <w:r>
              <w:rPr>
                <w:rFonts w:hint="eastAsia" w:ascii="思源黑体" w:hAnsi="思源黑体" w:eastAsia="思源黑体" w:cs="思源黑体"/>
                <w:sz w:val="24"/>
                <w:szCs w:val="24"/>
              </w:rPr>
              <w:t>净重</w:t>
            </w:r>
          </w:p>
        </w:tc>
        <w:tc>
          <w:tcPr>
            <w:tcW w:w="6179" w:type="dxa"/>
            <w:vAlign w:val="center"/>
          </w:tcPr>
          <w:p w14:paraId="1395C47F">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lang w:val="en-US" w:eastAsia="zh-CN"/>
              </w:rPr>
              <w:t>±</w:t>
            </w:r>
            <w:r>
              <w:rPr>
                <w:rFonts w:hint="eastAsia" w:ascii="思源黑体" w:hAnsi="思源黑体" w:eastAsia="思源黑体" w:cs="思源黑体"/>
                <w:sz w:val="24"/>
                <w:szCs w:val="24"/>
              </w:rPr>
              <w:t>2024mm×916mm×1434mm（长×宽×高）</w:t>
            </w:r>
          </w:p>
        </w:tc>
      </w:tr>
      <w:tr w14:paraId="4E4BF991">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6E5F2B6E">
            <w:pPr>
              <w:pStyle w:val="20"/>
              <w:spacing w:line="240" w:lineRule="auto"/>
              <w:rPr>
                <w:rFonts w:hint="eastAsia" w:ascii="思源黑体" w:hAnsi="思源黑体" w:eastAsia="思源黑体" w:cs="思源黑体"/>
                <w:sz w:val="24"/>
                <w:szCs w:val="24"/>
              </w:rPr>
            </w:pPr>
          </w:p>
        </w:tc>
        <w:tc>
          <w:tcPr>
            <w:tcW w:w="1920" w:type="dxa"/>
            <w:vAlign w:val="center"/>
          </w:tcPr>
          <w:p w14:paraId="51085D93">
            <w:pPr>
              <w:pStyle w:val="20"/>
              <w:spacing w:line="240" w:lineRule="auto"/>
            </w:pPr>
            <w:r>
              <w:rPr>
                <w:rFonts w:hint="eastAsia" w:ascii="思源黑体" w:hAnsi="思源黑体" w:eastAsia="思源黑体" w:cs="思源黑体"/>
                <w:sz w:val="24"/>
                <w:szCs w:val="24"/>
              </w:rPr>
              <w:t>毛重</w:t>
            </w:r>
          </w:p>
        </w:tc>
        <w:tc>
          <w:tcPr>
            <w:tcW w:w="6179" w:type="dxa"/>
            <w:vAlign w:val="center"/>
          </w:tcPr>
          <w:p w14:paraId="7C20A28F">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lang w:val="en-US" w:eastAsia="zh-CN"/>
              </w:rPr>
              <w:t>±</w:t>
            </w:r>
            <w:r>
              <w:rPr>
                <w:rFonts w:hint="eastAsia" w:ascii="思源黑体" w:hAnsi="思源黑体" w:eastAsia="思源黑体" w:cs="思源黑体"/>
                <w:sz w:val="24"/>
                <w:szCs w:val="24"/>
              </w:rPr>
              <w:t>2175mm×1195mm×1630mm（长×宽×高）</w:t>
            </w:r>
          </w:p>
        </w:tc>
      </w:tr>
      <w:tr w14:paraId="6A3A7762">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4C108BB8">
            <w:pPr>
              <w:pStyle w:val="20"/>
              <w:spacing w:line="240" w:lineRule="auto"/>
              <w:rPr>
                <w:rFonts w:hint="eastAsia" w:ascii="思源黑体" w:hAnsi="思源黑体" w:eastAsia="思源黑体" w:cs="思源黑体"/>
                <w:sz w:val="24"/>
                <w:szCs w:val="24"/>
              </w:rPr>
            </w:pPr>
          </w:p>
        </w:tc>
        <w:tc>
          <w:tcPr>
            <w:tcW w:w="1920" w:type="dxa"/>
            <w:vAlign w:val="center"/>
          </w:tcPr>
          <w:p w14:paraId="43B52C93">
            <w:pPr>
              <w:pStyle w:val="20"/>
              <w:spacing w:line="240" w:lineRule="auto"/>
            </w:pPr>
            <w:r>
              <w:rPr>
                <w:rFonts w:hint="eastAsia" w:ascii="思源黑体" w:hAnsi="思源黑体" w:eastAsia="思源黑体" w:cs="思源黑体"/>
                <w:sz w:val="24"/>
                <w:szCs w:val="24"/>
              </w:rPr>
              <w:t>工作温度</w:t>
            </w:r>
          </w:p>
        </w:tc>
        <w:tc>
          <w:tcPr>
            <w:tcW w:w="6179" w:type="dxa"/>
            <w:vAlign w:val="center"/>
          </w:tcPr>
          <w:p w14:paraId="7DD8F78C">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0℃～+45℃</w:t>
            </w:r>
          </w:p>
        </w:tc>
      </w:tr>
      <w:tr w14:paraId="17852EA7">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2CA560AB">
            <w:pPr>
              <w:pStyle w:val="20"/>
              <w:spacing w:line="240" w:lineRule="auto"/>
              <w:rPr>
                <w:rFonts w:hint="eastAsia" w:ascii="思源黑体" w:hAnsi="思源黑体" w:eastAsia="思源黑体" w:cs="思源黑体"/>
                <w:sz w:val="24"/>
                <w:szCs w:val="24"/>
              </w:rPr>
            </w:pPr>
          </w:p>
        </w:tc>
        <w:tc>
          <w:tcPr>
            <w:tcW w:w="1920" w:type="dxa"/>
            <w:vAlign w:val="center"/>
          </w:tcPr>
          <w:p w14:paraId="101A6A77">
            <w:pPr>
              <w:pStyle w:val="20"/>
              <w:spacing w:line="240" w:lineRule="auto"/>
            </w:pPr>
            <w:r>
              <w:rPr>
                <w:rFonts w:hint="eastAsia" w:ascii="思源黑体" w:hAnsi="思源黑体" w:eastAsia="思源黑体" w:cs="思源黑体"/>
                <w:sz w:val="24"/>
                <w:szCs w:val="24"/>
              </w:rPr>
              <w:t>储存温度</w:t>
            </w:r>
          </w:p>
        </w:tc>
        <w:tc>
          <w:tcPr>
            <w:tcW w:w="6179" w:type="dxa"/>
            <w:vAlign w:val="center"/>
          </w:tcPr>
          <w:p w14:paraId="1900BFA2">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-20℃～+70℃</w:t>
            </w:r>
          </w:p>
        </w:tc>
      </w:tr>
      <w:tr w14:paraId="6D4879AB">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4AE121EC">
            <w:pPr>
              <w:pStyle w:val="20"/>
              <w:spacing w:line="240" w:lineRule="auto"/>
              <w:rPr>
                <w:rFonts w:hint="eastAsia" w:ascii="思源黑体" w:hAnsi="思源黑体" w:eastAsia="思源黑体" w:cs="思源黑体"/>
                <w:sz w:val="24"/>
                <w:szCs w:val="24"/>
              </w:rPr>
            </w:pPr>
          </w:p>
        </w:tc>
        <w:tc>
          <w:tcPr>
            <w:tcW w:w="1920" w:type="dxa"/>
            <w:vAlign w:val="center"/>
          </w:tcPr>
          <w:p w14:paraId="4F7C1F4B">
            <w:pPr>
              <w:pStyle w:val="20"/>
              <w:spacing w:line="240" w:lineRule="auto"/>
            </w:pPr>
            <w:r>
              <w:rPr>
                <w:rFonts w:hint="eastAsia" w:ascii="思源黑体" w:hAnsi="思源黑体" w:eastAsia="思源黑体" w:cs="思源黑体"/>
                <w:sz w:val="24"/>
                <w:szCs w:val="24"/>
              </w:rPr>
              <w:t>工作湿度</w:t>
            </w:r>
          </w:p>
        </w:tc>
        <w:tc>
          <w:tcPr>
            <w:tcW w:w="6179" w:type="dxa"/>
            <w:vAlign w:val="center"/>
          </w:tcPr>
          <w:p w14:paraId="1A56D0B4">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0%～95%RH（无凝结）</w:t>
            </w:r>
          </w:p>
        </w:tc>
      </w:tr>
      <w:tr w14:paraId="4BC11D5A">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66" w:hRule="atLeast"/>
        </w:trPr>
        <w:tc>
          <w:tcPr>
            <w:tcW w:w="919" w:type="dxa"/>
            <w:vAlign w:val="center"/>
          </w:tcPr>
          <w:p w14:paraId="5C822D50">
            <w:pPr>
              <w:pStyle w:val="20"/>
              <w:spacing w:line="240" w:lineRule="auto"/>
              <w:rPr>
                <w:rFonts w:hint="eastAsia" w:ascii="思源黑体" w:hAnsi="思源黑体" w:eastAsia="思源黑体" w:cs="思源黑体"/>
                <w:sz w:val="24"/>
                <w:szCs w:val="24"/>
              </w:rPr>
            </w:pPr>
          </w:p>
        </w:tc>
        <w:tc>
          <w:tcPr>
            <w:tcW w:w="1920" w:type="dxa"/>
            <w:vAlign w:val="center"/>
          </w:tcPr>
          <w:p w14:paraId="608DE5A8">
            <w:pPr>
              <w:pStyle w:val="20"/>
              <w:spacing w:line="240" w:lineRule="auto"/>
            </w:pPr>
            <w:r>
              <w:rPr>
                <w:rFonts w:hint="eastAsia" w:ascii="思源黑体" w:hAnsi="思源黑体" w:eastAsia="思源黑体" w:cs="思源黑体"/>
                <w:sz w:val="24"/>
                <w:szCs w:val="24"/>
              </w:rPr>
              <w:t>储存湿度</w:t>
            </w:r>
          </w:p>
        </w:tc>
        <w:tc>
          <w:tcPr>
            <w:tcW w:w="6179" w:type="dxa"/>
            <w:vAlign w:val="center"/>
          </w:tcPr>
          <w:p w14:paraId="4A80A544">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0%～95%RH（无凝结）</w:t>
            </w:r>
          </w:p>
        </w:tc>
      </w:tr>
      <w:tr w14:paraId="0ECF36A5">
        <w:tblPrEx>
          <w:tblBorders>
            <w:top w:val="single" w:color="BEBEBE" w:themeColor="background1" w:themeShade="BF" w:sz="6" w:space="0"/>
            <w:left w:val="single" w:color="BEBEBE" w:themeColor="background1" w:themeShade="BF" w:sz="6" w:space="0"/>
            <w:bottom w:val="single" w:color="BEBEBE" w:themeColor="background1" w:themeShade="BF" w:sz="6" w:space="0"/>
            <w:right w:val="single" w:color="BEBEBE" w:themeColor="background1" w:themeShade="BF" w:sz="6" w:space="0"/>
            <w:insideH w:val="single" w:color="BEBEBE" w:themeColor="background1" w:themeShade="BF" w:sz="6" w:space="0"/>
            <w:insideV w:val="single" w:color="BEBEBE" w:themeColor="background1" w:themeShade="BF" w:sz="6" w:space="0"/>
          </w:tblBorders>
          <w:tblCellMar>
            <w:top w:w="0" w:type="dxa"/>
            <w:left w:w="108" w:type="dxa"/>
            <w:bottom w:w="0" w:type="dxa"/>
            <w:right w:w="108" w:type="dxa"/>
          </w:tblCellMar>
        </w:tblPrEx>
        <w:trPr>
          <w:trHeight w:val="795" w:hRule="atLeast"/>
        </w:trPr>
        <w:tc>
          <w:tcPr>
            <w:tcW w:w="919" w:type="dxa"/>
            <w:vAlign w:val="center"/>
          </w:tcPr>
          <w:p w14:paraId="1C2608F2">
            <w:pPr>
              <w:pStyle w:val="20"/>
              <w:spacing w:line="240" w:lineRule="auto"/>
              <w:rPr>
                <w:rFonts w:hint="eastAsia" w:ascii="思源黑体" w:hAnsi="思源黑体" w:eastAsia="思源黑体" w:cs="思源黑体"/>
                <w:sz w:val="24"/>
                <w:szCs w:val="24"/>
              </w:rPr>
            </w:pPr>
          </w:p>
        </w:tc>
        <w:tc>
          <w:tcPr>
            <w:tcW w:w="1920" w:type="dxa"/>
            <w:vAlign w:val="center"/>
          </w:tcPr>
          <w:p w14:paraId="3E4C0244">
            <w:pPr>
              <w:pStyle w:val="20"/>
              <w:spacing w:line="240" w:lineRule="auto"/>
            </w:pPr>
            <w:r>
              <w:rPr>
                <w:rFonts w:hint="eastAsia" w:ascii="思源黑体" w:hAnsi="思源黑体" w:eastAsia="思源黑体" w:cs="思源黑体"/>
                <w:sz w:val="24"/>
                <w:szCs w:val="24"/>
              </w:rPr>
              <w:t>安装方式</w:t>
            </w:r>
          </w:p>
        </w:tc>
        <w:tc>
          <w:tcPr>
            <w:tcW w:w="6179" w:type="dxa"/>
            <w:vAlign w:val="center"/>
          </w:tcPr>
          <w:p w14:paraId="3A6A0A44">
            <w:pPr>
              <w:pStyle w:val="21"/>
              <w:framePr w:hSpace="0" w:wrap="auto" w:vAnchor="margin" w:hAnchor="text" w:yAlign="inline"/>
              <w:spacing w:before="62" w:after="62"/>
              <w:ind w:right="90"/>
              <w:jc w:val="left"/>
            </w:pPr>
            <w:r>
              <w:rPr>
                <w:rFonts w:hint="eastAsia" w:ascii="思源黑体" w:hAnsi="思源黑体" w:eastAsia="思源黑体" w:cs="思源黑体"/>
                <w:sz w:val="24"/>
                <w:szCs w:val="24"/>
              </w:rPr>
              <w:t>台式安装</w:t>
            </w:r>
          </w:p>
        </w:tc>
      </w:tr>
    </w:tbl>
    <w:p w14:paraId="5100F4B6">
      <w:pPr>
        <w:spacing w:line="360" w:lineRule="auto"/>
        <w:jc w:val="left"/>
        <w:rPr>
          <w:rFonts w:ascii="宋体" w:hAnsi="宋体"/>
          <w:color w:val="000000"/>
          <w:sz w:val="24"/>
          <w:szCs w:val="24"/>
          <w:highlight w:val="none"/>
        </w:rPr>
      </w:pPr>
    </w:p>
    <w:p w14:paraId="3C25FF0A">
      <w:pPr>
        <w:spacing w:line="360" w:lineRule="auto"/>
        <w:jc w:val="left"/>
        <w:rPr>
          <w:rFonts w:ascii="宋体" w:hAnsi="宋体"/>
          <w:color w:val="000000"/>
          <w:highlight w:val="none"/>
        </w:rPr>
      </w:pPr>
    </w:p>
    <w:p w14:paraId="5B015C73">
      <w:pPr>
        <w:spacing w:line="360" w:lineRule="auto"/>
        <w:jc w:val="left"/>
        <w:rPr>
          <w:rFonts w:ascii="宋体" w:hAnsi="宋体"/>
          <w:color w:val="000000"/>
          <w:highlight w:val="none"/>
        </w:rPr>
      </w:pPr>
    </w:p>
    <w:bookmarkEnd w:id="0"/>
    <w:bookmarkEnd w:id="1"/>
    <w:bookmarkEnd w:id="2"/>
    <w:bookmarkEnd w:id="3"/>
    <w:bookmarkEnd w:id="4"/>
    <w:bookmarkEnd w:id="5"/>
    <w:bookmarkEnd w:id="6"/>
    <w:bookmarkEnd w:id="7"/>
    <w:bookmarkEnd w:id="8"/>
    <w:p w14:paraId="3327875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思源黑体 CN Light">
    <w:altName w:val="黑体"/>
    <w:panose1 w:val="020B0300000000000000"/>
    <w:charset w:val="86"/>
    <w:family w:val="swiss"/>
    <w:pitch w:val="default"/>
    <w:sig w:usb0="00000000" w:usb1="00000000" w:usb2="00000016" w:usb3="00000000" w:csb0="00060107" w:csb1="00000000"/>
  </w:font>
  <w:font w:name="方正悠黑_504L">
    <w:altName w:val="黑体"/>
    <w:panose1 w:val="00000000000000000000"/>
    <w:charset w:val="86"/>
    <w:family w:val="auto"/>
    <w:pitch w:val="default"/>
    <w:sig w:usb0="00000000" w:usb1="00000000" w:usb2="00000016" w:usb3="00000000" w:csb0="00040001" w:csb1="00000000"/>
  </w:font>
  <w:font w:name="方正悠黑简体_501L">
    <w:altName w:val="黑体"/>
    <w:panose1 w:val="00000000000000000000"/>
    <w:charset w:val="86"/>
    <w:family w:val="auto"/>
    <w:pitch w:val="default"/>
    <w:sig w:usb0="00000000" w:usb1="00000000" w:usb2="00000016" w:usb3="00000000" w:csb0="00040001" w:csb1="00000000"/>
  </w:font>
  <w:font w:name="思源黑体">
    <w:altName w:val="宋体"/>
    <w:panose1 w:val="00000000000000000000"/>
    <w:charset w:val="86"/>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0145B8"/>
    <w:multiLevelType w:val="multilevel"/>
    <w:tmpl w:val="1A0145B8"/>
    <w:lvl w:ilvl="0" w:tentative="0">
      <w:start w:val="1"/>
      <w:numFmt w:val="bullet"/>
      <w:pStyle w:val="11"/>
      <w:lvlText w:val=""/>
      <w:lvlJc w:val="left"/>
      <w:pPr>
        <w:tabs>
          <w:tab w:val="left" w:pos="420"/>
        </w:tabs>
        <w:ind w:left="420" w:hanging="420"/>
      </w:pPr>
      <w:rPr>
        <w:rFonts w:hint="default" w:ascii="Wingdings" w:hAnsi="Wingdings"/>
        <w:color w:val="000080"/>
        <w:sz w:val="15"/>
        <w:szCs w:val="15"/>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604BF8E7"/>
    <w:multiLevelType w:val="singleLevel"/>
    <w:tmpl w:val="604BF8E7"/>
    <w:lvl w:ilvl="0" w:tentative="0">
      <w:start w:val="3"/>
      <w:numFmt w:val="chineseCounting"/>
      <w:suff w:val="nothing"/>
      <w:lvlText w:val="（%1）"/>
      <w:lvlJc w:val="left"/>
      <w:pPr>
        <w:ind w:left="-482"/>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jN2ZjNGQ2ODA4YWQ2ODZlNGQwYThkOTdlNWFkODMifQ=="/>
  </w:docVars>
  <w:rsids>
    <w:rsidRoot w:val="00000000"/>
    <w:rsid w:val="02DC3F04"/>
    <w:rsid w:val="11DC5CCF"/>
    <w:rsid w:val="13515C4C"/>
    <w:rsid w:val="14BE07E0"/>
    <w:rsid w:val="1609105D"/>
    <w:rsid w:val="18170AD4"/>
    <w:rsid w:val="1AFD473E"/>
    <w:rsid w:val="26BC17D3"/>
    <w:rsid w:val="3BB56AC5"/>
    <w:rsid w:val="3C8251B9"/>
    <w:rsid w:val="4D834C75"/>
    <w:rsid w:val="50025B21"/>
    <w:rsid w:val="54B64EC9"/>
    <w:rsid w:val="55C71736"/>
    <w:rsid w:val="57674F68"/>
    <w:rsid w:val="5999246A"/>
    <w:rsid w:val="60FD7F86"/>
    <w:rsid w:val="63716EC6"/>
    <w:rsid w:val="65075D34"/>
    <w:rsid w:val="659F4A20"/>
    <w:rsid w:val="69E2467A"/>
    <w:rsid w:val="6BD76E4B"/>
    <w:rsid w:val="72695938"/>
    <w:rsid w:val="78EF4ACF"/>
    <w:rsid w:val="7E615D2B"/>
    <w:rsid w:val="7FE97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sz w:val="21"/>
      <w:szCs w:val="21"/>
      <w:lang w:val="en-US" w:eastAsia="zh-CN" w:bidi="ar-SA"/>
    </w:rPr>
  </w:style>
  <w:style w:type="paragraph" w:styleId="2">
    <w:name w:val="heading 2"/>
    <w:basedOn w:val="1"/>
    <w:next w:val="1"/>
    <w:qFormat/>
    <w:uiPriority w:val="0"/>
    <w:pPr>
      <w:spacing w:line="340" w:lineRule="exact"/>
      <w:outlineLvl w:val="1"/>
    </w:pPr>
    <w:rPr>
      <w:rFonts w:ascii="宋体" w:hAnsi="宋体" w:eastAsia="黑体" w:cs="Times New Roman"/>
      <w:b/>
      <w:bCs/>
      <w:sz w:val="24"/>
      <w:szCs w:val="24"/>
    </w:rPr>
  </w:style>
  <w:style w:type="paragraph" w:styleId="3">
    <w:name w:val="heading 3"/>
    <w:basedOn w:val="1"/>
    <w:next w:val="1"/>
    <w:qFormat/>
    <w:uiPriority w:val="0"/>
    <w:pPr>
      <w:tabs>
        <w:tab w:val="left" w:pos="900"/>
      </w:tabs>
      <w:snapToGrid w:val="0"/>
      <w:spacing w:line="340" w:lineRule="exact"/>
      <w:jc w:val="left"/>
      <w:outlineLvl w:val="2"/>
    </w:pPr>
    <w:rPr>
      <w:rFonts w:ascii="宋体" w:hAnsi="宋体"/>
      <w:b/>
      <w:sz w:val="24"/>
      <w:szCs w:val="24"/>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Title"/>
    <w:basedOn w:val="1"/>
    <w:next w:val="1"/>
    <w:qFormat/>
    <w:uiPriority w:val="10"/>
    <w:pPr>
      <w:spacing w:before="240" w:after="60"/>
      <w:jc w:val="center"/>
      <w:outlineLvl w:val="0"/>
    </w:pPr>
    <w:rPr>
      <w:rFonts w:ascii="等线 Light" w:hAnsi="等线 Light" w:cs="Times New Roman"/>
      <w:b/>
      <w:bCs/>
      <w:sz w:val="32"/>
      <w:szCs w:val="32"/>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unhideWhenUsed/>
    <w:qFormat/>
    <w:uiPriority w:val="99"/>
    <w:rPr>
      <w:color w:val="0563C1"/>
      <w:u w:val="single"/>
    </w:rPr>
  </w:style>
  <w:style w:type="paragraph" w:customStyle="1" w:styleId="10">
    <w:name w:val="*正文"/>
    <w:basedOn w:val="1"/>
    <w:qFormat/>
    <w:uiPriority w:val="0"/>
    <w:pPr>
      <w:spacing w:line="360" w:lineRule="auto"/>
      <w:ind w:firstLine="200" w:firstLineChars="200"/>
    </w:pPr>
    <w:rPr>
      <w:rFonts w:ascii="宋体" w:hAnsi="宋体" w:cs="Times New Roman"/>
      <w:sz w:val="24"/>
      <w:szCs w:val="20"/>
    </w:rPr>
  </w:style>
  <w:style w:type="paragraph" w:customStyle="1" w:styleId="11">
    <w:name w:val="Item List in Table"/>
    <w:basedOn w:val="1"/>
    <w:qFormat/>
    <w:uiPriority w:val="0"/>
    <w:pPr>
      <w:numPr>
        <w:ilvl w:val="0"/>
        <w:numId w:val="1"/>
      </w:numPr>
      <w:jc w:val="left"/>
    </w:pPr>
    <w:rPr>
      <w:rFonts w:ascii="Times New Roman" w:hAnsi="Times New Roman" w:cs="Times New Roman"/>
      <w:kern w:val="2"/>
      <w:szCs w:val="24"/>
    </w:rPr>
  </w:style>
  <w:style w:type="character" w:customStyle="1" w:styleId="12">
    <w:name w:val="font101"/>
    <w:basedOn w:val="8"/>
    <w:qFormat/>
    <w:uiPriority w:val="0"/>
    <w:rPr>
      <w:rFonts w:hint="default" w:ascii="Times New Roman" w:hAnsi="Times New Roman" w:cs="Times New Roman"/>
      <w:color w:val="000000"/>
      <w:sz w:val="20"/>
      <w:szCs w:val="20"/>
      <w:u w:val="none"/>
    </w:rPr>
  </w:style>
  <w:style w:type="character" w:customStyle="1" w:styleId="13">
    <w:name w:val="font81"/>
    <w:basedOn w:val="8"/>
    <w:qFormat/>
    <w:uiPriority w:val="0"/>
    <w:rPr>
      <w:rFonts w:hint="eastAsia" w:ascii="仿宋" w:hAnsi="仿宋" w:eastAsia="仿宋" w:cs="仿宋"/>
      <w:color w:val="000000"/>
      <w:sz w:val="20"/>
      <w:szCs w:val="20"/>
      <w:u w:val="none"/>
    </w:rPr>
  </w:style>
  <w:style w:type="character" w:customStyle="1" w:styleId="14">
    <w:name w:val="font112"/>
    <w:basedOn w:val="8"/>
    <w:qFormat/>
    <w:uiPriority w:val="0"/>
    <w:rPr>
      <w:rFonts w:ascii="Arial" w:hAnsi="Arial" w:cs="Arial"/>
      <w:color w:val="000000"/>
      <w:sz w:val="20"/>
      <w:szCs w:val="20"/>
      <w:u w:val="none"/>
    </w:rPr>
  </w:style>
  <w:style w:type="paragraph" w:customStyle="1" w:styleId="15">
    <w:name w:val="正文正"/>
    <w:basedOn w:val="1"/>
    <w:qFormat/>
    <w:uiPriority w:val="0"/>
    <w:pPr>
      <w:spacing w:line="560" w:lineRule="exact"/>
      <w:ind w:firstLine="561"/>
    </w:pPr>
    <w:rPr>
      <w:rFonts w:ascii="Calibri" w:hAnsi="Calibri"/>
      <w:sz w:val="28"/>
      <w:szCs w:val="28"/>
    </w:rPr>
  </w:style>
  <w:style w:type="paragraph" w:customStyle="1" w:styleId="16">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styleId="17">
    <w:name w:val="List Paragraph"/>
    <w:basedOn w:val="1"/>
    <w:qFormat/>
    <w:uiPriority w:val="34"/>
    <w:pPr>
      <w:ind w:firstLine="420" w:firstLineChars="200"/>
    </w:pPr>
  </w:style>
  <w:style w:type="paragraph" w:customStyle="1" w:styleId="18">
    <w:name w:val="表格右参数"/>
    <w:basedOn w:val="19"/>
    <w:autoRedefine/>
    <w:qFormat/>
    <w:uiPriority w:val="0"/>
    <w:pPr>
      <w:spacing w:before="20" w:beforeLines="20" w:after="20" w:afterLines="20" w:line="168" w:lineRule="exact"/>
      <w:ind w:left="50" w:leftChars="50"/>
    </w:pPr>
    <w:rPr>
      <w:rFonts w:ascii="思源黑体 CN Light" w:hAnsi="思源黑体 CN Light" w:eastAsia="思源黑体 CN Light" w:cs="方正悠黑_504L"/>
    </w:rPr>
  </w:style>
  <w:style w:type="paragraph" w:customStyle="1" w:styleId="19">
    <w:name w:val="表格正文"/>
    <w:basedOn w:val="1"/>
    <w:autoRedefine/>
    <w:qFormat/>
    <w:uiPriority w:val="99"/>
    <w:pPr>
      <w:suppressAutoHyphens/>
      <w:autoSpaceDE w:val="0"/>
      <w:autoSpaceDN w:val="0"/>
      <w:adjustRightInd w:val="0"/>
      <w:spacing w:line="288" w:lineRule="auto"/>
      <w:jc w:val="left"/>
      <w:textAlignment w:val="center"/>
    </w:pPr>
    <w:rPr>
      <w:rFonts w:ascii="方正悠黑简体_501L" w:eastAsia="方正悠黑简体_501L" w:cs="方正悠黑简体_501L" w:hAnsiTheme="minorHAnsi"/>
      <w:color w:val="000000"/>
      <w:kern w:val="0"/>
      <w:sz w:val="14"/>
      <w:szCs w:val="14"/>
    </w:rPr>
  </w:style>
  <w:style w:type="paragraph" w:customStyle="1" w:styleId="20">
    <w:name w:val="表格大类"/>
    <w:basedOn w:val="19"/>
    <w:autoRedefine/>
    <w:qFormat/>
    <w:uiPriority w:val="99"/>
    <w:rPr>
      <w:sz w:val="18"/>
      <w:szCs w:val="18"/>
    </w:rPr>
  </w:style>
  <w:style w:type="paragraph" w:customStyle="1" w:styleId="21">
    <w:name w:val="配件图"/>
    <w:basedOn w:val="1"/>
    <w:autoRedefine/>
    <w:qFormat/>
    <w:uiPriority w:val="0"/>
    <w:pPr>
      <w:framePr w:hSpace="180" w:wrap="around" w:vAnchor="page" w:hAnchor="margin" w:y="5726"/>
      <w:widowControl/>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2125</Words>
  <Characters>2487</Characters>
  <Lines>0</Lines>
  <Paragraphs>0</Paragraphs>
  <TotalTime>17</TotalTime>
  <ScaleCrop>false</ScaleCrop>
  <LinksUpToDate>false</LinksUpToDate>
  <CharactersWithSpaces>2494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2024-12-27T02:14:00Z</dcterms:created>
  <dc:creator>admin</dc:creator>
  <cp:lastModifiedBy>牛东</cp:lastModifiedBy>
  <dcterms:modified xsi:type="dcterms:W3CDTF">2026-01-19T08:10:15Z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eyJoZGlkIjoiOTY0NjU2MDViZGFhNTc0ODgwZmQxNjlhZGNmODg3OTYiLCJ1c2VySWQiOiI5MTMzMzEyOTkifQ==</vt:lpwstr>
  </property>
  <property fmtid="{D5CDD505-2E9C-101B-9397-08002B2CF9AE}" pid="4" name="ICV">
    <vt:lpwstr>78A531E0440F48919636DE159E584AE3_13</vt:lpwstr>
  </property>
</Properties>
</file>